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燃气报警器</w:t>
      </w:r>
      <w:r>
        <w:rPr>
          <w:rFonts w:hint="eastAsia" w:ascii="黑体" w:eastAsia="黑体"/>
          <w:b/>
          <w:color w:val="auto"/>
          <w:sz w:val="72"/>
          <w:szCs w:val="72"/>
          <w:highlight w:val="none"/>
          <w:vertAlign w:val="baseline"/>
        </w:rPr>
        <w:t>采购项目</w:t>
      </w:r>
    </w:p>
    <w:p>
      <w:pPr>
        <w:jc w:val="center"/>
        <w:rPr>
          <w:rFonts w:hint="eastAsia" w:ascii="黑体" w:eastAsia="黑体"/>
          <w:b/>
          <w:color w:val="auto"/>
          <w:sz w:val="72"/>
          <w:szCs w:val="72"/>
          <w:highlight w:val="none"/>
          <w:vertAlign w:val="baseline"/>
          <w:lang w:val="en-US" w:eastAsia="zh-CN"/>
        </w:rPr>
      </w:pPr>
    </w:p>
    <w:p>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pPr>
        <w:rPr>
          <w:rFonts w:hint="eastAsia" w:ascii="黑体" w:eastAsia="黑体"/>
          <w:b/>
          <w:bCs/>
          <w:color w:val="auto"/>
          <w:sz w:val="84"/>
          <w:szCs w:val="84"/>
          <w:highlight w:val="none"/>
          <w:vertAlign w:val="baseline"/>
        </w:rPr>
      </w:pP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spacing w:line="360" w:lineRule="auto"/>
        <w:jc w:val="both"/>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项目编号：FECG20260104</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22</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p>
      <w:pPr>
        <w:spacing w:line="360" w:lineRule="auto"/>
        <w:ind w:firstLine="1680" w:firstLineChars="700"/>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青岛市妇女儿童医院燃气报警器采购项目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kern w:val="0"/>
          <w:sz w:val="24"/>
          <w:szCs w:val="24"/>
          <w:highlight w:val="none"/>
          <w:vertAlign w:val="baseline"/>
        </w:rPr>
        <w:t>青岛市妇女儿童医院</w:t>
      </w:r>
      <w:r>
        <w:rPr>
          <w:rFonts w:hint="eastAsia" w:ascii="仿宋" w:hAnsi="仿宋" w:eastAsia="仿宋" w:cs="宋体"/>
          <w:color w:val="auto"/>
          <w:kern w:val="0"/>
          <w:sz w:val="24"/>
          <w:szCs w:val="24"/>
          <w:highlight w:val="none"/>
          <w:vertAlign w:val="baseline"/>
          <w:lang w:val="en-US" w:eastAsia="zh-CN"/>
        </w:rPr>
        <w:t>燃气报警器</w:t>
      </w:r>
      <w:r>
        <w:rPr>
          <w:rFonts w:hint="eastAsia" w:ascii="仿宋" w:hAnsi="仿宋" w:eastAsia="仿宋" w:cs="宋体"/>
          <w:color w:val="auto"/>
          <w:kern w:val="0"/>
          <w:sz w:val="24"/>
          <w:szCs w:val="24"/>
          <w:highlight w:val="none"/>
          <w:vertAlign w:val="baseline"/>
        </w:rPr>
        <w:t>采购项目</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w:t>
      </w:r>
      <w:r>
        <w:rPr>
          <w:rFonts w:hint="eastAsia" w:ascii="仿宋" w:hAnsi="仿宋" w:eastAsia="仿宋" w:cs="宋体"/>
          <w:color w:val="auto"/>
          <w:kern w:val="0"/>
          <w:sz w:val="24"/>
          <w:szCs w:val="24"/>
          <w:highlight w:val="none"/>
          <w:vertAlign w:val="baseline"/>
        </w:rPr>
        <w:t>FECG20260104</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25</w:t>
      </w:r>
      <w:bookmarkStart w:id="16" w:name="_GoBack"/>
      <w:bookmarkEnd w:id="16"/>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李老师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宋体"/>
          <w:color w:val="auto"/>
          <w:sz w:val="28"/>
          <w:szCs w:val="28"/>
          <w:highlight w:val="none"/>
          <w:vertAlign w:val="baseline"/>
          <w:lang w:val="en-US" w:eastAsia="zh-CN"/>
        </w:rPr>
      </w:pPr>
    </w:p>
    <w:p>
      <w:pPr>
        <w:tabs>
          <w:tab w:val="left" w:pos="8460"/>
        </w:tabs>
        <w:autoSpaceDE w:val="0"/>
        <w:autoSpaceDN w:val="0"/>
        <w:adjustRightInd w:val="0"/>
        <w:spacing w:line="240" w:lineRule="auto"/>
        <w:ind w:firstLine="0" w:firstLineChars="0"/>
        <w:jc w:val="left"/>
        <w:rPr>
          <w:rFonts w:hint="eastAsia" w:ascii="仿宋" w:hAnsi="仿宋" w:eastAsia="仿宋" w:cs="宋体"/>
          <w:color w:val="auto"/>
          <w:sz w:val="28"/>
          <w:szCs w:val="28"/>
          <w:highlight w:val="none"/>
          <w:vertAlign w:val="baseline"/>
          <w:lang w:val="en-US" w:eastAsia="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bookmarkStart w:id="5" w:name="_Toc22109"/>
      <w:bookmarkStart w:id="6" w:name="_Toc11005"/>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vertAlign w:val="baseline"/>
        </w:rPr>
        <w:t>青岛市妇女儿童医院</w:t>
      </w:r>
      <w:r>
        <w:rPr>
          <w:rFonts w:hint="eastAsia" w:ascii="仿宋" w:hAnsi="仿宋" w:eastAsia="仿宋" w:cs="宋体"/>
          <w:color w:val="auto"/>
          <w:kern w:val="0"/>
          <w:sz w:val="24"/>
          <w:szCs w:val="24"/>
          <w:highlight w:val="none"/>
          <w:vertAlign w:val="baseline"/>
          <w:lang w:val="en-US" w:eastAsia="zh-CN"/>
        </w:rPr>
        <w:t>燃气报警器</w:t>
      </w:r>
      <w:r>
        <w:rPr>
          <w:rFonts w:hint="eastAsia" w:ascii="仿宋" w:hAnsi="仿宋" w:eastAsia="仿宋" w:cs="宋体"/>
          <w:color w:val="auto"/>
          <w:kern w:val="0"/>
          <w:sz w:val="24"/>
          <w:szCs w:val="24"/>
          <w:highlight w:val="none"/>
          <w:vertAlign w:val="baseline"/>
        </w:rPr>
        <w:t>采购项目</w:t>
      </w:r>
    </w:p>
    <w:p>
      <w:pPr>
        <w:spacing w:line="360" w:lineRule="auto"/>
        <w:rPr>
          <w:rFonts w:hint="eastAsia" w:ascii="黑体" w:eastAsia="黑体"/>
          <w:bCs/>
          <w:color w:val="auto"/>
          <w:sz w:val="32"/>
          <w:szCs w:val="32"/>
          <w:highlight w:val="none"/>
          <w:vertAlign w:val="baseline"/>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kern w:val="0"/>
          <w:sz w:val="24"/>
          <w:szCs w:val="24"/>
          <w:highlight w:val="none"/>
          <w:vertAlign w:val="baseline"/>
        </w:rPr>
        <w:t>FECG20260104</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pPr>
        <w:spacing w:line="360" w:lineRule="auto"/>
        <w:rPr>
          <w:rFonts w:hint="eastAsia" w:ascii="仿宋" w:hAnsi="仿宋" w:eastAsia="仿宋" w:cs="宋体"/>
          <w:color w:val="auto"/>
          <w:kern w:val="0"/>
          <w:sz w:val="24"/>
          <w:szCs w:val="24"/>
          <w:highlight w:val="none"/>
          <w:vertAlign w:val="baseline"/>
        </w:rPr>
      </w:pPr>
      <w:bookmarkStart w:id="7" w:name="_Toc31534"/>
      <w:r>
        <w:rPr>
          <w:rFonts w:hint="eastAsia" w:ascii="仿宋" w:hAnsi="仿宋" w:eastAsia="仿宋" w:cs="宋体"/>
          <w:color w:val="auto"/>
          <w:kern w:val="0"/>
          <w:sz w:val="24"/>
          <w:szCs w:val="24"/>
          <w:highlight w:val="none"/>
          <w:vertAlign w:val="baseline"/>
        </w:rPr>
        <w:t>1. 项目说明</w:t>
      </w:r>
      <w:bookmarkEnd w:id="7"/>
    </w:p>
    <w:p>
      <w:pPr>
        <w:spacing w:line="360" w:lineRule="auto"/>
        <w:rPr>
          <w:rFonts w:hint="default" w:ascii="仿宋" w:hAnsi="仿宋" w:eastAsia="仿宋" w:cs="宋体"/>
          <w:color w:val="auto"/>
          <w:kern w:val="0"/>
          <w:sz w:val="24"/>
          <w:szCs w:val="24"/>
          <w:highlight w:val="none"/>
          <w:vertAlign w:val="baseline"/>
          <w:lang w:val="en-US" w:eastAsia="zh-CN"/>
        </w:rPr>
      </w:pPr>
      <w:bookmarkStart w:id="8" w:name="_Toc30247"/>
      <w:bookmarkStart w:id="9" w:name="_Toc31842"/>
      <w:r>
        <w:rPr>
          <w:rFonts w:hint="eastAsia" w:ascii="仿宋" w:hAnsi="仿宋" w:eastAsia="仿宋" w:cs="宋体"/>
          <w:color w:val="auto"/>
          <w:kern w:val="0"/>
          <w:sz w:val="24"/>
          <w:szCs w:val="24"/>
          <w:highlight w:val="none"/>
          <w:vertAlign w:val="baseline"/>
        </w:rPr>
        <w:t>1.1</w:t>
      </w:r>
      <w:bookmarkEnd w:id="8"/>
      <w:r>
        <w:rPr>
          <w:rFonts w:hint="eastAsia" w:ascii="仿宋" w:hAnsi="仿宋" w:eastAsia="仿宋" w:cs="宋体"/>
          <w:color w:val="auto"/>
          <w:kern w:val="0"/>
          <w:sz w:val="24"/>
          <w:szCs w:val="24"/>
          <w:highlight w:val="none"/>
          <w:vertAlign w:val="baseline"/>
          <w:lang w:val="en-US" w:eastAsia="zh-CN"/>
        </w:rPr>
        <w:t>本项目控制价格为13740元。</w:t>
      </w:r>
    </w:p>
    <w:p>
      <w:pPr>
        <w:spacing w:line="360" w:lineRule="auto"/>
        <w:rPr>
          <w:rFonts w:hint="eastAsia" w:ascii="仿宋" w:hAnsi="仿宋" w:eastAsia="仿宋" w:cs="宋体"/>
          <w:color w:val="auto"/>
          <w:kern w:val="0"/>
          <w:sz w:val="24"/>
          <w:szCs w:val="24"/>
          <w:highlight w:val="none"/>
          <w:vertAlign w:val="baseline"/>
        </w:rPr>
      </w:pPr>
      <w:bookmarkStart w:id="10" w:name="_Toc993"/>
      <w:r>
        <w:rPr>
          <w:rFonts w:hint="eastAsia" w:ascii="仿宋" w:hAnsi="仿宋" w:eastAsia="仿宋" w:cs="宋体"/>
          <w:color w:val="auto"/>
          <w:kern w:val="0"/>
          <w:sz w:val="24"/>
          <w:szCs w:val="24"/>
          <w:highlight w:val="none"/>
          <w:vertAlign w:val="baseline"/>
        </w:rPr>
        <w:t>1.2本项目供应商所报价格应为含税全包价，包含</w:t>
      </w:r>
      <w:bookmarkEnd w:id="10"/>
      <w:bookmarkStart w:id="11" w:name="_Toc20340"/>
      <w:r>
        <w:rPr>
          <w:rFonts w:hint="eastAsia" w:ascii="仿宋" w:hAnsi="仿宋" w:eastAsia="仿宋" w:cs="宋体"/>
          <w:color w:val="auto"/>
          <w:kern w:val="0"/>
          <w:sz w:val="24"/>
          <w:szCs w:val="24"/>
          <w:highlight w:val="none"/>
          <w:vertAlign w:val="baseline"/>
        </w:rPr>
        <w:t>完成内容所需的人工费、材料费、机工具费、安全措施费等相关费用，此外</w:t>
      </w:r>
      <w:r>
        <w:rPr>
          <w:rFonts w:hint="eastAsia" w:ascii="仿宋" w:hAnsi="仿宋" w:eastAsia="仿宋" w:cs="宋体"/>
          <w:color w:val="auto"/>
          <w:kern w:val="0"/>
          <w:sz w:val="24"/>
          <w:szCs w:val="24"/>
          <w:highlight w:val="none"/>
          <w:vertAlign w:val="baseline"/>
          <w:lang w:eastAsia="zh-CN"/>
        </w:rPr>
        <w:t>采购人</w:t>
      </w:r>
      <w:r>
        <w:rPr>
          <w:rFonts w:hint="eastAsia" w:ascii="仿宋" w:hAnsi="仿宋" w:eastAsia="仿宋" w:cs="宋体"/>
          <w:color w:val="auto"/>
          <w:kern w:val="0"/>
          <w:sz w:val="24"/>
          <w:szCs w:val="24"/>
          <w:highlight w:val="none"/>
          <w:vertAlign w:val="baseline"/>
        </w:rPr>
        <w:t>不再支付</w:t>
      </w:r>
      <w:r>
        <w:rPr>
          <w:rFonts w:hint="eastAsia" w:ascii="仿宋" w:hAnsi="仿宋" w:eastAsia="仿宋" w:cs="宋体"/>
          <w:color w:val="auto"/>
          <w:kern w:val="0"/>
          <w:sz w:val="24"/>
          <w:szCs w:val="24"/>
          <w:highlight w:val="none"/>
          <w:vertAlign w:val="baseline"/>
          <w:lang w:eastAsia="zh-CN"/>
        </w:rPr>
        <w:t>其他</w:t>
      </w:r>
      <w:r>
        <w:rPr>
          <w:rFonts w:hint="eastAsia" w:ascii="仿宋" w:hAnsi="仿宋" w:eastAsia="仿宋" w:cs="宋体"/>
          <w:color w:val="auto"/>
          <w:kern w:val="0"/>
          <w:sz w:val="24"/>
          <w:szCs w:val="24"/>
          <w:highlight w:val="none"/>
          <w:vertAlign w:val="baseline"/>
        </w:rPr>
        <w:t>任何费用。</w:t>
      </w:r>
      <w:bookmarkEnd w:id="11"/>
    </w:p>
    <w:p>
      <w:pPr>
        <w:spacing w:line="360" w:lineRule="auto"/>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1.3根据医院安排进行施工更换，工期为5个工作日。</w:t>
      </w:r>
    </w:p>
    <w:p>
      <w:pPr>
        <w:spacing w:line="360" w:lineRule="auto"/>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1.4必须满足CJJT 146-2011 城镇燃气报警控制系统技术规程。</w:t>
      </w:r>
    </w:p>
    <w:bookmarkEnd w:id="9"/>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lang w:val="en-US" w:eastAsia="zh-CN"/>
        </w:rPr>
        <w:t>招标范围</w:t>
      </w:r>
    </w:p>
    <w:p>
      <w:pPr>
        <w:spacing w:line="360" w:lineRule="auto"/>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rPr>
        <w:t>对</w:t>
      </w:r>
      <w:r>
        <w:rPr>
          <w:rFonts w:hint="eastAsia" w:ascii="仿宋" w:hAnsi="仿宋" w:eastAsia="仿宋" w:cs="宋体"/>
          <w:color w:val="auto"/>
          <w:kern w:val="0"/>
          <w:sz w:val="24"/>
          <w:szCs w:val="24"/>
          <w:highlight w:val="none"/>
          <w:vertAlign w:val="baseline"/>
          <w:lang w:eastAsia="zh-CN"/>
        </w:rPr>
        <w:t>青岛妇女儿童医院</w:t>
      </w:r>
      <w:r>
        <w:rPr>
          <w:rFonts w:hint="eastAsia" w:ascii="仿宋" w:hAnsi="仿宋" w:eastAsia="仿宋" w:cs="宋体"/>
          <w:color w:val="auto"/>
          <w:kern w:val="0"/>
          <w:sz w:val="24"/>
          <w:szCs w:val="24"/>
          <w:highlight w:val="none"/>
          <w:vertAlign w:val="baseline"/>
          <w:lang w:val="en-US" w:eastAsia="zh-CN"/>
        </w:rPr>
        <w:t>锅炉房燃气报警器系统进行整体更换（包括控制器和6路探头）</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能够与原有的风机系统进行联动。</w:t>
      </w:r>
    </w:p>
    <w:p>
      <w:pPr>
        <w:spacing w:line="360" w:lineRule="auto"/>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rPr>
        <w:t xml:space="preserve">3. </w:t>
      </w:r>
      <w:r>
        <w:rPr>
          <w:rFonts w:hint="eastAsia" w:ascii="仿宋" w:hAnsi="仿宋" w:eastAsia="仿宋" w:cs="宋体"/>
          <w:color w:val="auto"/>
          <w:kern w:val="0"/>
          <w:sz w:val="24"/>
          <w:szCs w:val="24"/>
          <w:highlight w:val="none"/>
          <w:vertAlign w:val="baseline"/>
          <w:lang w:val="en-US" w:eastAsia="zh-CN"/>
        </w:rPr>
        <w:t>参数要求</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lang w:val="en-US" w:eastAsia="zh-CN"/>
        </w:rPr>
        <w:t>3.1</w:t>
      </w:r>
      <w:r>
        <w:rPr>
          <w:rFonts w:hint="eastAsia" w:ascii="仿宋" w:hAnsi="仿宋" w:eastAsia="仿宋" w:cs="宋体"/>
          <w:color w:val="auto"/>
          <w:kern w:val="0"/>
          <w:sz w:val="24"/>
          <w:szCs w:val="24"/>
          <w:highlight w:val="none"/>
          <w:vertAlign w:val="baseline"/>
        </w:rPr>
        <w:t xml:space="preserve"> 硬件配置与通道</w:t>
      </w:r>
    </w:p>
    <w:p>
      <w:pPr>
        <w:spacing w:line="360" w:lineRule="auto"/>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rPr>
        <w:t>· 结构：壁挂式，钢结构，全自动微电脑控制，触摸屏</w:t>
      </w:r>
      <w:r>
        <w:rPr>
          <w:rFonts w:hint="eastAsia" w:ascii="仿宋" w:hAnsi="仿宋" w:eastAsia="仿宋" w:cs="宋体"/>
          <w:color w:val="auto"/>
          <w:kern w:val="0"/>
          <w:sz w:val="24"/>
          <w:szCs w:val="24"/>
          <w:highlight w:val="none"/>
          <w:vertAlign w:val="baseline"/>
          <w:lang w:val="en-US" w:eastAsia="zh-CN"/>
        </w:rPr>
        <w:t>或按键</w:t>
      </w:r>
      <w:r>
        <w:rPr>
          <w:rFonts w:hint="eastAsia" w:ascii="仿宋" w:hAnsi="仿宋" w:eastAsia="仿宋" w:cs="宋体"/>
          <w:color w:val="auto"/>
          <w:kern w:val="0"/>
          <w:sz w:val="24"/>
          <w:szCs w:val="24"/>
          <w:highlight w:val="none"/>
          <w:vertAlign w:val="baseline"/>
        </w:rPr>
        <w:t>操作，液晶显示</w:t>
      </w:r>
      <w:r>
        <w:rPr>
          <w:rFonts w:hint="eastAsia" w:ascii="仿宋" w:hAnsi="仿宋" w:eastAsia="仿宋" w:cs="宋体"/>
          <w:color w:val="auto"/>
          <w:kern w:val="0"/>
          <w:sz w:val="24"/>
          <w:szCs w:val="24"/>
          <w:highlight w:val="none"/>
          <w:vertAlign w:val="baseline"/>
          <w:lang w:eastAsia="zh-CN"/>
        </w:rPr>
        <w:t>。</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xml:space="preserve">· 容量：支持 </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路</w:t>
      </w:r>
      <w:r>
        <w:rPr>
          <w:rFonts w:hint="eastAsia" w:ascii="仿宋" w:hAnsi="仿宋" w:eastAsia="仿宋" w:cs="宋体"/>
          <w:color w:val="auto"/>
          <w:kern w:val="0"/>
          <w:sz w:val="24"/>
          <w:szCs w:val="24"/>
          <w:highlight w:val="none"/>
          <w:vertAlign w:val="baseline"/>
          <w:lang w:val="en-US" w:eastAsia="zh-CN"/>
        </w:rPr>
        <w:t>及以上</w:t>
      </w:r>
      <w:r>
        <w:rPr>
          <w:rFonts w:hint="eastAsia" w:ascii="仿宋" w:hAnsi="仿宋" w:eastAsia="仿宋" w:cs="宋体"/>
          <w:color w:val="auto"/>
          <w:kern w:val="0"/>
          <w:sz w:val="24"/>
          <w:szCs w:val="24"/>
          <w:highlight w:val="none"/>
          <w:vertAlign w:val="baseline"/>
        </w:rPr>
        <w:t>探测器接入。</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输出：每通道标配 DC 4-20mA 输出；可选 RS-485（Modbus RTU）与PLC/DCS通讯。</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xml:space="preserve">· </w:t>
      </w:r>
      <w:r>
        <w:rPr>
          <w:rFonts w:hint="eastAsia" w:ascii="仿宋" w:hAnsi="仿宋" w:eastAsia="仿宋" w:cs="宋体"/>
          <w:color w:val="auto"/>
          <w:kern w:val="0"/>
          <w:sz w:val="24"/>
          <w:szCs w:val="24"/>
          <w:highlight w:val="none"/>
          <w:vertAlign w:val="baseline"/>
          <w:lang w:val="en-US" w:eastAsia="zh-CN"/>
        </w:rPr>
        <w:t>控制器</w:t>
      </w:r>
      <w:r>
        <w:rPr>
          <w:rFonts w:hint="eastAsia" w:ascii="仿宋" w:hAnsi="仿宋" w:eastAsia="仿宋" w:cs="宋体"/>
          <w:color w:val="auto"/>
          <w:kern w:val="0"/>
          <w:sz w:val="24"/>
          <w:szCs w:val="24"/>
          <w:highlight w:val="none"/>
          <w:vertAlign w:val="baseline"/>
        </w:rPr>
        <w:t>尺寸：根据</w:t>
      </w:r>
      <w:r>
        <w:rPr>
          <w:rFonts w:hint="eastAsia" w:ascii="仿宋" w:hAnsi="仿宋" w:eastAsia="仿宋" w:cs="宋体"/>
          <w:color w:val="auto"/>
          <w:kern w:val="0"/>
          <w:sz w:val="24"/>
          <w:szCs w:val="24"/>
          <w:highlight w:val="none"/>
          <w:vertAlign w:val="baseline"/>
          <w:lang w:val="en-US" w:eastAsia="zh-CN"/>
        </w:rPr>
        <w:t>现场安装条件</w:t>
      </w:r>
      <w:r>
        <w:rPr>
          <w:rFonts w:hint="eastAsia" w:ascii="仿宋" w:hAnsi="仿宋" w:eastAsia="仿宋" w:cs="宋体"/>
          <w:color w:val="auto"/>
          <w:kern w:val="0"/>
          <w:sz w:val="24"/>
          <w:szCs w:val="24"/>
          <w:highlight w:val="none"/>
          <w:vertAlign w:val="baseline"/>
        </w:rPr>
        <w:t>确认</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lang w:val="en-US" w:eastAsia="zh-CN"/>
        </w:rPr>
        <w:t>3.2</w:t>
      </w:r>
      <w:r>
        <w:rPr>
          <w:rFonts w:hint="eastAsia" w:ascii="仿宋" w:hAnsi="仿宋" w:eastAsia="仿宋" w:cs="宋体"/>
          <w:color w:val="auto"/>
          <w:kern w:val="0"/>
          <w:sz w:val="24"/>
          <w:szCs w:val="24"/>
          <w:highlight w:val="none"/>
          <w:vertAlign w:val="baseline"/>
        </w:rPr>
        <w:t xml:space="preserve"> 性能参数</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测量范围：0-100%LEL（可燃气体</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rPr>
        <w:t>甲烷、有毒有害气体、蒸汽等）。</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精度：≤±</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%FS。</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响应时间：≤30秒。</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xml:space="preserve">· 传输距离：≥ </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00米 (2.5mm²线径)。</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报警方式：声光（&gt;70dB），高/低两段报警值可设。</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lang w:val="en-US" w:eastAsia="zh-CN"/>
        </w:rPr>
        <w:t>3.3</w:t>
      </w:r>
      <w:r>
        <w:rPr>
          <w:rFonts w:hint="eastAsia" w:ascii="仿宋" w:hAnsi="仿宋" w:eastAsia="仿宋" w:cs="宋体"/>
          <w:color w:val="auto"/>
          <w:kern w:val="0"/>
          <w:sz w:val="24"/>
          <w:szCs w:val="24"/>
          <w:highlight w:val="none"/>
          <w:vertAlign w:val="baseline"/>
        </w:rPr>
        <w:t xml:space="preserve"> 功能要求</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控制输出：具备无源触点输出，可联动风机、电磁阀、消防系统等。</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自检与记录：具备“黑匣子”功能，自动存储报警、故障及开关机记录。</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电源管理：主备电自动切换，具有欠压、过载保护。</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lang w:val="en-US" w:eastAsia="zh-CN"/>
        </w:rPr>
        <w:t>3.4</w:t>
      </w:r>
      <w:r>
        <w:rPr>
          <w:rFonts w:hint="eastAsia" w:ascii="仿宋" w:hAnsi="仿宋" w:eastAsia="仿宋" w:cs="宋体"/>
          <w:color w:val="auto"/>
          <w:kern w:val="0"/>
          <w:sz w:val="24"/>
          <w:szCs w:val="24"/>
          <w:highlight w:val="none"/>
          <w:vertAlign w:val="baseline"/>
        </w:rPr>
        <w:t xml:space="preserve"> 电气与环境</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供电：AC220V±20% 50Hz；备电可选 DC24V/7Ah（持续≥2小时）。</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功耗：≤3.5W - 5.5W/路。</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工作环境：温度 -20℃~+70℃，湿度 ≤95%RH。</w:t>
      </w:r>
    </w:p>
    <w:p>
      <w:pPr>
        <w:spacing w:line="360" w:lineRule="auto"/>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 xml:space="preserve">. </w:t>
      </w:r>
      <w:r>
        <w:rPr>
          <w:rFonts w:hint="eastAsia" w:ascii="仿宋" w:hAnsi="仿宋" w:eastAsia="仿宋" w:cs="宋体"/>
          <w:color w:val="auto"/>
          <w:kern w:val="0"/>
          <w:sz w:val="24"/>
          <w:szCs w:val="24"/>
          <w:highlight w:val="none"/>
          <w:vertAlign w:val="baseline"/>
          <w:lang w:val="en-US" w:eastAsia="zh-CN"/>
        </w:rPr>
        <w:t>付款方式</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w:t>
      </w:r>
      <w:r>
        <w:rPr>
          <w:rFonts w:hint="eastAsia" w:ascii="仿宋" w:hAnsi="仿宋" w:eastAsia="仿宋" w:cs="宋体"/>
          <w:color w:val="auto"/>
          <w:kern w:val="0"/>
          <w:sz w:val="24"/>
          <w:szCs w:val="24"/>
          <w:highlight w:val="none"/>
          <w:vertAlign w:val="baseline"/>
          <w:lang w:val="en-US" w:eastAsia="zh-CN"/>
        </w:rPr>
        <w:t>1</w:t>
      </w:r>
      <w:r>
        <w:rPr>
          <w:rFonts w:hint="eastAsia" w:ascii="仿宋" w:hAnsi="仿宋" w:eastAsia="仿宋" w:cs="宋体"/>
          <w:color w:val="auto"/>
          <w:kern w:val="0"/>
          <w:sz w:val="24"/>
          <w:szCs w:val="24"/>
          <w:highlight w:val="none"/>
          <w:vertAlign w:val="baseline"/>
        </w:rPr>
        <w:t>付款方式：</w:t>
      </w:r>
      <w:r>
        <w:rPr>
          <w:rFonts w:hint="eastAsia" w:ascii="仿宋" w:hAnsi="仿宋" w:eastAsia="仿宋" w:cs="宋体"/>
          <w:color w:val="auto"/>
          <w:kern w:val="0"/>
          <w:sz w:val="24"/>
          <w:szCs w:val="24"/>
          <w:highlight w:val="none"/>
          <w:vertAlign w:val="baseline"/>
          <w:lang w:val="en-US" w:eastAsia="zh-CN"/>
        </w:rPr>
        <w:t>安装结束</w:t>
      </w:r>
      <w:r>
        <w:rPr>
          <w:rFonts w:hint="eastAsia" w:ascii="仿宋" w:hAnsi="仿宋" w:eastAsia="仿宋" w:cs="宋体"/>
          <w:color w:val="auto"/>
          <w:kern w:val="0"/>
          <w:sz w:val="24"/>
          <w:szCs w:val="24"/>
          <w:highlight w:val="none"/>
          <w:vertAlign w:val="baseline"/>
        </w:rPr>
        <w:t>后，</w:t>
      </w:r>
      <w:r>
        <w:rPr>
          <w:rFonts w:hint="eastAsia" w:ascii="仿宋" w:hAnsi="仿宋" w:eastAsia="仿宋" w:cs="宋体"/>
          <w:color w:val="auto"/>
          <w:kern w:val="0"/>
          <w:sz w:val="24"/>
          <w:szCs w:val="24"/>
          <w:highlight w:val="none"/>
          <w:vertAlign w:val="baseline"/>
          <w:lang w:val="en-US" w:eastAsia="zh-CN"/>
        </w:rPr>
        <w:t>经测试合格，一次性</w:t>
      </w:r>
      <w:r>
        <w:rPr>
          <w:rFonts w:hint="eastAsia" w:ascii="仿宋" w:hAnsi="仿宋" w:eastAsia="仿宋" w:cs="宋体"/>
          <w:color w:val="auto"/>
          <w:kern w:val="0"/>
          <w:sz w:val="24"/>
          <w:szCs w:val="24"/>
          <w:highlight w:val="none"/>
          <w:vertAlign w:val="baseline"/>
        </w:rPr>
        <w:t>支付合同总金额的100%。</w:t>
      </w: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2"/>
        </w:numPr>
        <w:rPr>
          <w:rFonts w:hint="eastAsia" w:ascii="仿宋" w:hAnsi="仿宋" w:eastAsia="仿宋" w:cs="宋体"/>
          <w:bCs/>
          <w:color w:val="auto"/>
          <w:sz w:val="32"/>
          <w:szCs w:val="32"/>
          <w:highlight w:val="none"/>
          <w:lang w:val="en-US" w:eastAsia="zh-CN"/>
        </w:rPr>
      </w:pPr>
      <w:bookmarkStart w:id="12" w:name="_Toc11138"/>
      <w:bookmarkStart w:id="13" w:name="_Toc3841"/>
      <w:r>
        <w:rPr>
          <w:rFonts w:hint="eastAsia" w:ascii="仿宋" w:hAnsi="仿宋" w:eastAsia="仿宋" w:cs="宋体"/>
          <w:bCs/>
          <w:color w:val="auto"/>
          <w:sz w:val="32"/>
          <w:szCs w:val="32"/>
          <w:highlight w:val="none"/>
          <w:lang w:val="en-US" w:eastAsia="zh-CN"/>
        </w:rPr>
        <w:t>报价文件格式</w:t>
      </w:r>
      <w:bookmarkEnd w:id="12"/>
      <w:bookmarkEnd w:id="13"/>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9"/>
        <w:tblW w:w="11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840"/>
        <w:gridCol w:w="855"/>
        <w:gridCol w:w="1095"/>
        <w:gridCol w:w="855"/>
        <w:gridCol w:w="825"/>
        <w:gridCol w:w="750"/>
        <w:gridCol w:w="1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2"/>
        <w:ind w:firstLine="482"/>
        <w:rPr>
          <w:rFonts w:hint="eastAsia" w:ascii="仿宋" w:hAnsi="仿宋" w:eastAsia="仿宋"/>
          <w:b/>
          <w:bCs/>
          <w:color w:val="auto"/>
          <w:kern w:val="1"/>
          <w:sz w:val="24"/>
          <w:szCs w:val="24"/>
          <w:highlight w:val="none"/>
        </w:rPr>
      </w:pPr>
    </w:p>
    <w:p>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14"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14"/>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2"/>
        </w:numPr>
        <w:rPr>
          <w:rFonts w:hint="default" w:ascii="仿宋" w:hAnsi="仿宋" w:eastAsia="仿宋" w:cs="宋体"/>
          <w:bCs/>
          <w:color w:val="auto"/>
          <w:sz w:val="32"/>
          <w:szCs w:val="32"/>
          <w:highlight w:val="none"/>
          <w:lang w:val="en-US" w:eastAsia="zh-CN"/>
        </w:rPr>
      </w:pPr>
      <w:bookmarkStart w:id="15" w:name="_Toc4072"/>
      <w:r>
        <w:rPr>
          <w:rFonts w:hint="eastAsia" w:ascii="仿宋" w:hAnsi="仿宋" w:eastAsia="仿宋" w:cs="宋体"/>
          <w:bCs/>
          <w:color w:val="auto"/>
          <w:sz w:val="32"/>
          <w:szCs w:val="32"/>
          <w:highlight w:val="none"/>
          <w:lang w:val="en-US" w:eastAsia="zh-CN"/>
        </w:rPr>
        <w:t>协议签订</w:t>
      </w:r>
      <w:bookmarkEnd w:id="15"/>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3"/>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EB443B"/>
    <w:rsid w:val="011C35D4"/>
    <w:rsid w:val="022655F4"/>
    <w:rsid w:val="02A074A1"/>
    <w:rsid w:val="03D4598B"/>
    <w:rsid w:val="04FE68A6"/>
    <w:rsid w:val="052D3B24"/>
    <w:rsid w:val="06BA1636"/>
    <w:rsid w:val="0715148C"/>
    <w:rsid w:val="07F300E2"/>
    <w:rsid w:val="0885561C"/>
    <w:rsid w:val="08AE1E9F"/>
    <w:rsid w:val="08E053FD"/>
    <w:rsid w:val="0AF56D02"/>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AE68B1"/>
    <w:rsid w:val="27D857A9"/>
    <w:rsid w:val="28545C89"/>
    <w:rsid w:val="2947617E"/>
    <w:rsid w:val="294E055C"/>
    <w:rsid w:val="29565F0F"/>
    <w:rsid w:val="296E14AB"/>
    <w:rsid w:val="29952251"/>
    <w:rsid w:val="2AD16DE9"/>
    <w:rsid w:val="2C4209CD"/>
    <w:rsid w:val="2CA31C32"/>
    <w:rsid w:val="2D375F5B"/>
    <w:rsid w:val="2D881798"/>
    <w:rsid w:val="2E400F3C"/>
    <w:rsid w:val="30180DC7"/>
    <w:rsid w:val="30D2722F"/>
    <w:rsid w:val="30D40CC6"/>
    <w:rsid w:val="320550BC"/>
    <w:rsid w:val="32C55D9C"/>
    <w:rsid w:val="32E94794"/>
    <w:rsid w:val="33AA7021"/>
    <w:rsid w:val="33D62126"/>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40E5D73"/>
    <w:rsid w:val="44245877"/>
    <w:rsid w:val="48693114"/>
    <w:rsid w:val="48AA548E"/>
    <w:rsid w:val="4973433F"/>
    <w:rsid w:val="4ADE05E3"/>
    <w:rsid w:val="4D84279B"/>
    <w:rsid w:val="4E056021"/>
    <w:rsid w:val="4F3F325D"/>
    <w:rsid w:val="4FF27E90"/>
    <w:rsid w:val="50151D85"/>
    <w:rsid w:val="50A0797B"/>
    <w:rsid w:val="512D7A23"/>
    <w:rsid w:val="51542485"/>
    <w:rsid w:val="51C63F5B"/>
    <w:rsid w:val="52074D56"/>
    <w:rsid w:val="52634E4A"/>
    <w:rsid w:val="556E3867"/>
    <w:rsid w:val="56F03878"/>
    <w:rsid w:val="570D3802"/>
    <w:rsid w:val="579D2DD8"/>
    <w:rsid w:val="5927777C"/>
    <w:rsid w:val="59396B30"/>
    <w:rsid w:val="59C941DE"/>
    <w:rsid w:val="5AA004E9"/>
    <w:rsid w:val="5B7F05AD"/>
    <w:rsid w:val="5B975D90"/>
    <w:rsid w:val="5BAB1B9D"/>
    <w:rsid w:val="5C394634"/>
    <w:rsid w:val="5D7C4D2D"/>
    <w:rsid w:val="5E3A7AF0"/>
    <w:rsid w:val="5E544260"/>
    <w:rsid w:val="5F9A5527"/>
    <w:rsid w:val="5FEF5132"/>
    <w:rsid w:val="60436A52"/>
    <w:rsid w:val="61233E3F"/>
    <w:rsid w:val="61777597"/>
    <w:rsid w:val="61BE6953"/>
    <w:rsid w:val="62402164"/>
    <w:rsid w:val="632F44C3"/>
    <w:rsid w:val="64F462FB"/>
    <w:rsid w:val="655B15B0"/>
    <w:rsid w:val="684612D0"/>
    <w:rsid w:val="68DD679C"/>
    <w:rsid w:val="6B11633F"/>
    <w:rsid w:val="6BBA6B64"/>
    <w:rsid w:val="6C1D7BEB"/>
    <w:rsid w:val="6C270A6A"/>
    <w:rsid w:val="6D3C0CEE"/>
    <w:rsid w:val="6D773183"/>
    <w:rsid w:val="6DFF4B35"/>
    <w:rsid w:val="6E2562DF"/>
    <w:rsid w:val="6E713C29"/>
    <w:rsid w:val="6F137C43"/>
    <w:rsid w:val="6F825766"/>
    <w:rsid w:val="70885FAA"/>
    <w:rsid w:val="71723597"/>
    <w:rsid w:val="71AE4ABD"/>
    <w:rsid w:val="727C6025"/>
    <w:rsid w:val="72B85E13"/>
    <w:rsid w:val="7315161C"/>
    <w:rsid w:val="739526EC"/>
    <w:rsid w:val="73AC676B"/>
    <w:rsid w:val="73BF3D9C"/>
    <w:rsid w:val="74AB53DF"/>
    <w:rsid w:val="75570F51"/>
    <w:rsid w:val="75E4177A"/>
    <w:rsid w:val="77183DD1"/>
    <w:rsid w:val="77601667"/>
    <w:rsid w:val="784371B5"/>
    <w:rsid w:val="78445413"/>
    <w:rsid w:val="787E5EB6"/>
    <w:rsid w:val="78892864"/>
    <w:rsid w:val="78A34418"/>
    <w:rsid w:val="78B90C9C"/>
    <w:rsid w:val="78D24F75"/>
    <w:rsid w:val="78D2700F"/>
    <w:rsid w:val="7B223BA3"/>
    <w:rsid w:val="7B611E27"/>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2420</Words>
  <Characters>2755</Characters>
  <Lines>0</Lines>
  <Paragraphs>0</Paragraphs>
  <TotalTime>7</TotalTime>
  <ScaleCrop>false</ScaleCrop>
  <LinksUpToDate>false</LinksUpToDate>
  <CharactersWithSpaces>2870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2025-06-17T05:09:00Z</cp:lastPrinted>
  <dcterms:modified xsi:type="dcterms:W3CDTF">2026-05-21T00:22:40Z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1EA5F44289D44FC5A43D13160DC3ABAD</vt:lpwstr>
  </property>
  <property fmtid="{D5CDD505-2E9C-101B-9397-08002B2CF9AE}" pid="4" name="KSOTemplateDocerSaveRecord">
    <vt:lpwstr>eyJoZGlkIjoiMTczMDNlNGM5NzQ4NTA2YWMwZGNmZmM1NTE3MGU5OTQiLCJ1c2VySWQiOiIxMTQwNzgyNjMxIn0=</vt:lpwstr>
  </property>
</Properties>
</file>