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48"/>
          <w:szCs w:val="48"/>
          <w:highlight w:val="none"/>
          <w:vertAlign w:val="baseline"/>
        </w:rPr>
      </w:pPr>
      <w:r>
        <w:rPr>
          <w:rFonts w:hint="eastAsia" w:ascii="黑体" w:eastAsia="黑体"/>
          <w:b/>
          <w:color w:val="auto"/>
          <w:sz w:val="48"/>
          <w:szCs w:val="48"/>
          <w:highlight w:val="none"/>
          <w:vertAlign w:val="baseline"/>
          <w:lang w:val="en-US" w:eastAsia="zh-CN"/>
        </w:rPr>
        <w:t>互联裸光纤链路(主)租用服务采购项目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210</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31</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4756FE4A">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青岛市妇女儿童医院互联裸光纤链路(主)租用服务采购项目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44AEFB75">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1、项目名称：青岛市妇女儿童医院互联裸光纤链路(主)租用服务采购项目</w:t>
      </w:r>
    </w:p>
    <w:p w14:paraId="2D8E4423">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210</w:t>
      </w:r>
    </w:p>
    <w:p w14:paraId="735EEB2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78F1DB7F">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6FD0FCC7">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7082B5B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42501FB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6CB9EC9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482F3F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1123F322">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45CAC629">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0EBF11D8">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2016F385">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7819A078">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D39BC20">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170657E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45B16DCD">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31</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3BE06DE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453715FE">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5043FF24">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6E41839E">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26B81904">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3D8DA522">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F9E0540">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0D4A5EA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2E7C416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5341B22B">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63754A3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2F7231C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65035E4D">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362E965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049B0E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E0F7C6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7"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4"/>
          <w:szCs w:val="24"/>
          <w:highlight w:val="none"/>
          <w:vertAlign w:val="baseline"/>
        </w:rPr>
        <w:t>互联裸光纤链路(主)租用服务采购项目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210</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pPr w:leftFromText="180" w:rightFromText="180" w:vertAnchor="text" w:tblpX="-1085" w:tblpY="1"/>
        <w:tblOverlap w:val="never"/>
        <w:tblW w:w="10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437"/>
        <w:gridCol w:w="4888"/>
        <w:gridCol w:w="887"/>
        <w:gridCol w:w="838"/>
        <w:gridCol w:w="887"/>
        <w:gridCol w:w="925"/>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center"/>
          </w:tcPr>
          <w:p w14:paraId="275D6E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37" w:type="dxa"/>
            <w:vAlign w:val="center"/>
          </w:tcPr>
          <w:p w14:paraId="62693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服务名称</w:t>
            </w:r>
          </w:p>
        </w:tc>
        <w:tc>
          <w:tcPr>
            <w:tcW w:w="4888" w:type="dxa"/>
            <w:vAlign w:val="center"/>
          </w:tcPr>
          <w:p w14:paraId="404DE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887" w:type="dxa"/>
            <w:vAlign w:val="center"/>
          </w:tcPr>
          <w:p w14:paraId="31AE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8" w:type="dxa"/>
            <w:vAlign w:val="center"/>
          </w:tcPr>
          <w:p w14:paraId="5C9979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887" w:type="dxa"/>
            <w:vAlign w:val="center"/>
          </w:tcPr>
          <w:p w14:paraId="3C59F7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25" w:type="dxa"/>
            <w:vAlign w:val="center"/>
          </w:tcPr>
          <w:p w14:paraId="74C506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服务期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6" w:type="dxa"/>
            <w:vAlign w:val="center"/>
          </w:tcPr>
          <w:p w14:paraId="4092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37" w:type="dxa"/>
            <w:vAlign w:val="center"/>
          </w:tcPr>
          <w:p w14:paraId="4C42C9D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宋体"/>
                <w:color w:val="auto"/>
                <w:sz w:val="24"/>
                <w:szCs w:val="24"/>
                <w:highlight w:val="none"/>
                <w:vertAlign w:val="baseline"/>
              </w:rPr>
              <w:t>互联裸光纤链路(主)租用服务</w:t>
            </w:r>
          </w:p>
        </w:tc>
        <w:tc>
          <w:tcPr>
            <w:tcW w:w="4888" w:type="dxa"/>
            <w:vAlign w:val="center"/>
          </w:tcPr>
          <w:p w14:paraId="0CE21AF0">
            <w:pPr>
              <w:numPr>
                <w:ilvl w:val="0"/>
                <w:numId w:val="0"/>
              </w:numPr>
              <w:spacing w:line="240" w:lineRule="auto"/>
              <w:ind w:left="425" w:leftChars="0" w:hanging="425" w:firstLineChars="0"/>
              <w:rPr>
                <w:rFonts w:hint="eastAsia" w:ascii="仿宋" w:hAnsi="仿宋" w:eastAsia="仿宋" w:cs="仿宋"/>
                <w:b/>
                <w:bCs/>
                <w:sz w:val="20"/>
                <w:szCs w:val="20"/>
                <w:highlight w:val="none"/>
                <w:vertAlign w:val="baseline"/>
                <w:lang w:val="en-US" w:eastAsia="zh-CN"/>
              </w:rPr>
            </w:pPr>
            <w:r>
              <w:rPr>
                <w:rFonts w:hint="eastAsia" w:ascii="仿宋" w:hAnsi="仿宋" w:eastAsia="仿宋" w:cs="仿宋"/>
                <w:b/>
                <w:bCs/>
                <w:kern w:val="2"/>
                <w:sz w:val="20"/>
                <w:szCs w:val="20"/>
                <w:highlight w:val="none"/>
                <w:vertAlign w:val="baseline"/>
                <w:lang w:val="en-US" w:eastAsia="zh-CN" w:bidi="ar-SA"/>
              </w:rPr>
              <w:t>1.</w:t>
            </w:r>
            <w:r>
              <w:rPr>
                <w:rFonts w:hint="eastAsia" w:ascii="仿宋" w:hAnsi="仿宋" w:eastAsia="仿宋" w:cs="仿宋"/>
                <w:b/>
                <w:bCs/>
                <w:sz w:val="20"/>
                <w:szCs w:val="20"/>
                <w:highlight w:val="none"/>
                <w:vertAlign w:val="baseline"/>
                <w:lang w:val="en-US" w:eastAsia="zh-CN"/>
              </w:rPr>
              <w:t>技术要求</w:t>
            </w:r>
          </w:p>
          <w:p w14:paraId="64364E73">
            <w:pPr>
              <w:keepNext w:val="0"/>
              <w:keepLines w:val="0"/>
              <w:widowControl/>
              <w:numPr>
                <w:ilvl w:val="0"/>
                <w:numId w:val="0"/>
              </w:numPr>
              <w:suppressLineNumbers w:val="0"/>
              <w:spacing w:line="240" w:lineRule="auto"/>
              <w:ind w:left="425" w:leftChars="0" w:hanging="425" w:firstLineChars="0"/>
              <w:jc w:val="left"/>
              <w:rPr>
                <w:rFonts w:hint="eastAsia" w:ascii="仿宋" w:hAnsi="仿宋" w:eastAsia="仿宋" w:cs="仿宋"/>
                <w:color w:val="auto"/>
                <w:kern w:val="0"/>
                <w:sz w:val="20"/>
                <w:szCs w:val="20"/>
                <w:highlight w:val="none"/>
                <w:vertAlign w:val="baseline"/>
                <w:lang w:val="en-US" w:eastAsia="zh-CN" w:bidi="ar"/>
              </w:rPr>
            </w:pPr>
            <w:r>
              <w:rPr>
                <w:rFonts w:hint="eastAsia" w:ascii="仿宋" w:hAnsi="仿宋" w:eastAsia="仿宋" w:cs="仿宋"/>
                <w:color w:val="auto"/>
                <w:kern w:val="0"/>
                <w:sz w:val="20"/>
                <w:szCs w:val="20"/>
                <w:highlight w:val="none"/>
                <w:vertAlign w:val="baseline"/>
                <w:lang w:val="en-US" w:eastAsia="zh-CN" w:bidi="ar"/>
              </w:rPr>
              <w:t>(1)</w:t>
            </w:r>
            <w:r>
              <w:rPr>
                <w:rFonts w:hint="eastAsia" w:ascii="仿宋" w:hAnsi="仿宋" w:eastAsia="仿宋" w:cs="仿宋"/>
                <w:sz w:val="20"/>
                <w:szCs w:val="20"/>
                <w:highlight w:val="none"/>
                <w:vertAlign w:val="baseline"/>
                <w:lang w:val="en-US" w:eastAsia="zh-CN"/>
              </w:rPr>
              <w:t>位置：起点为青岛市市北区辽阳西路217号，终点为青岛市市北区海泊路6号。</w:t>
            </w:r>
          </w:p>
          <w:p w14:paraId="420033A8">
            <w:pPr>
              <w:keepNext w:val="0"/>
              <w:keepLines w:val="0"/>
              <w:widowControl/>
              <w:numPr>
                <w:ilvl w:val="0"/>
                <w:numId w:val="0"/>
              </w:numPr>
              <w:suppressLineNumbers w:val="0"/>
              <w:spacing w:line="240" w:lineRule="auto"/>
              <w:ind w:left="425" w:leftChars="0" w:hanging="425" w:firstLineChars="0"/>
              <w:jc w:val="left"/>
              <w:rPr>
                <w:rFonts w:hint="eastAsia" w:ascii="仿宋" w:hAnsi="仿宋" w:eastAsia="仿宋" w:cs="仿宋"/>
                <w:kern w:val="0"/>
                <w:sz w:val="20"/>
                <w:szCs w:val="20"/>
                <w:highlight w:val="none"/>
                <w:vertAlign w:val="baseline"/>
                <w:lang w:val="en-US" w:eastAsia="zh-CN" w:bidi="ar"/>
              </w:rPr>
            </w:pPr>
            <w:r>
              <w:rPr>
                <w:rFonts w:hint="eastAsia" w:ascii="仿宋" w:hAnsi="仿宋" w:eastAsia="仿宋" w:cs="仿宋"/>
                <w:kern w:val="0"/>
                <w:sz w:val="20"/>
                <w:szCs w:val="20"/>
                <w:highlight w:val="none"/>
                <w:vertAlign w:val="baseline"/>
                <w:lang w:val="en-US" w:eastAsia="zh-CN" w:bidi="ar"/>
              </w:rPr>
              <w:t>(2)数量：1条。</w:t>
            </w:r>
          </w:p>
          <w:p w14:paraId="7B0699EB">
            <w:pPr>
              <w:keepNext w:val="0"/>
              <w:keepLines w:val="0"/>
              <w:widowControl/>
              <w:numPr>
                <w:ilvl w:val="0"/>
                <w:numId w:val="0"/>
              </w:numPr>
              <w:suppressLineNumbers w:val="0"/>
              <w:spacing w:line="240" w:lineRule="auto"/>
              <w:ind w:left="425" w:leftChars="0" w:hanging="425" w:firstLineChars="0"/>
              <w:jc w:val="left"/>
              <w:rPr>
                <w:rFonts w:hint="eastAsia" w:ascii="仿宋" w:hAnsi="仿宋" w:eastAsia="仿宋" w:cs="仿宋"/>
                <w:kern w:val="0"/>
                <w:sz w:val="20"/>
                <w:szCs w:val="20"/>
                <w:highlight w:val="none"/>
                <w:vertAlign w:val="baseline"/>
                <w:lang w:val="en-US" w:eastAsia="zh-CN" w:bidi="ar"/>
              </w:rPr>
            </w:pPr>
            <w:r>
              <w:rPr>
                <w:rFonts w:hint="eastAsia" w:ascii="仿宋" w:hAnsi="仿宋" w:eastAsia="仿宋" w:cs="仿宋"/>
                <w:kern w:val="2"/>
                <w:sz w:val="20"/>
                <w:szCs w:val="20"/>
                <w:highlight w:val="none"/>
                <w:vertAlign w:val="baseline"/>
                <w:lang w:val="en-US" w:eastAsia="zh-CN" w:bidi="ar-SA"/>
              </w:rPr>
              <w:t>(3)</w:t>
            </w:r>
            <w:r>
              <w:rPr>
                <w:rFonts w:hint="eastAsia" w:ascii="仿宋" w:hAnsi="仿宋" w:eastAsia="仿宋" w:cs="仿宋"/>
                <w:kern w:val="0"/>
                <w:sz w:val="20"/>
                <w:szCs w:val="20"/>
                <w:highlight w:val="none"/>
                <w:vertAlign w:val="baseline"/>
                <w:lang w:val="en-US" w:eastAsia="zh-CN" w:bidi="ar"/>
              </w:rPr>
              <w:t>根据光缆技术指标，纤芯波长为1310nm时，光纤衰减系数≤0.4dB/km，两个插头任意连接插入损耗≤1 dB，综合考虑其他损耗指标，本条裸纤任一纤芯总线路衰耗在0.2dB 以内为合理范围。</w:t>
            </w:r>
          </w:p>
          <w:p w14:paraId="13578BE1">
            <w:pPr>
              <w:numPr>
                <w:ilvl w:val="0"/>
                <w:numId w:val="0"/>
              </w:numPr>
              <w:spacing w:line="240" w:lineRule="auto"/>
              <w:ind w:left="425" w:leftChars="0" w:hanging="425" w:firstLineChars="0"/>
              <w:rPr>
                <w:rFonts w:hint="eastAsia" w:ascii="仿宋" w:hAnsi="仿宋" w:eastAsia="仿宋" w:cs="仿宋"/>
                <w:b/>
                <w:bCs/>
                <w:sz w:val="20"/>
                <w:szCs w:val="20"/>
                <w:highlight w:val="none"/>
                <w:vertAlign w:val="baseline"/>
                <w:lang w:val="en-US" w:eastAsia="zh-CN"/>
              </w:rPr>
            </w:pPr>
            <w:r>
              <w:rPr>
                <w:rFonts w:hint="eastAsia" w:ascii="仿宋" w:hAnsi="仿宋" w:eastAsia="仿宋" w:cs="仿宋"/>
                <w:b/>
                <w:bCs/>
                <w:kern w:val="2"/>
                <w:sz w:val="20"/>
                <w:szCs w:val="20"/>
                <w:highlight w:val="none"/>
                <w:vertAlign w:val="baseline"/>
                <w:lang w:val="en-US" w:eastAsia="zh-CN" w:bidi="ar-SA"/>
              </w:rPr>
              <w:t>2.</w:t>
            </w:r>
            <w:r>
              <w:rPr>
                <w:rFonts w:hint="eastAsia" w:ascii="仿宋" w:hAnsi="仿宋" w:eastAsia="仿宋" w:cs="仿宋"/>
                <w:b/>
                <w:bCs/>
                <w:sz w:val="20"/>
                <w:szCs w:val="20"/>
                <w:highlight w:val="none"/>
                <w:vertAlign w:val="baseline"/>
                <w:lang w:val="en-US" w:eastAsia="zh-CN"/>
              </w:rPr>
              <w:t>总体要求</w:t>
            </w:r>
          </w:p>
          <w:p w14:paraId="055AAD71">
            <w:pPr>
              <w:keepNext w:val="0"/>
              <w:keepLines w:val="0"/>
              <w:widowControl/>
              <w:numPr>
                <w:ilvl w:val="0"/>
                <w:numId w:val="0"/>
              </w:numPr>
              <w:suppressLineNumbers w:val="0"/>
              <w:spacing w:line="240" w:lineRule="auto"/>
              <w:ind w:left="425" w:leftChars="0" w:hanging="425" w:firstLineChars="0"/>
              <w:jc w:val="left"/>
              <w:rPr>
                <w:rFonts w:hint="eastAsia" w:ascii="仿宋" w:hAnsi="仿宋" w:eastAsia="仿宋" w:cs="仿宋"/>
                <w:kern w:val="0"/>
                <w:sz w:val="20"/>
                <w:szCs w:val="20"/>
                <w:highlight w:val="none"/>
                <w:vertAlign w:val="baseline"/>
                <w:lang w:val="en-US" w:eastAsia="zh-CN" w:bidi="ar"/>
              </w:rPr>
            </w:pPr>
            <w:r>
              <w:rPr>
                <w:rFonts w:hint="eastAsia" w:ascii="仿宋" w:hAnsi="仿宋" w:eastAsia="仿宋" w:cs="仿宋"/>
                <w:kern w:val="0"/>
                <w:sz w:val="20"/>
                <w:szCs w:val="20"/>
                <w:highlight w:val="none"/>
                <w:vertAlign w:val="baseline"/>
                <w:lang w:val="en-US" w:eastAsia="zh-CN" w:bidi="ar"/>
              </w:rPr>
              <w:t>(1)网络稳定性保障：运营商应全力保障网络的持续通畅，制定并提供全面线路的维护方案及书面的线路维护承诺。确保线路故障率≤0.001%，主干网设备可用率≥99.9%。裸光纤线路光衰≤-20db。</w:t>
            </w:r>
          </w:p>
          <w:p w14:paraId="3AA2C6D1">
            <w:pPr>
              <w:keepNext w:val="0"/>
              <w:keepLines w:val="0"/>
              <w:widowControl/>
              <w:numPr>
                <w:ilvl w:val="0"/>
                <w:numId w:val="0"/>
              </w:numPr>
              <w:suppressLineNumbers w:val="0"/>
              <w:spacing w:line="240" w:lineRule="auto"/>
              <w:ind w:left="425" w:leftChars="0" w:hanging="425" w:firstLineChars="0"/>
              <w:jc w:val="left"/>
              <w:rPr>
                <w:rFonts w:hint="eastAsia" w:ascii="仿宋" w:hAnsi="仿宋" w:eastAsia="仿宋" w:cs="仿宋"/>
                <w:sz w:val="20"/>
                <w:szCs w:val="18"/>
                <w:vertAlign w:val="baseline"/>
              </w:rPr>
            </w:pPr>
            <w:r>
              <w:rPr>
                <w:rFonts w:hint="eastAsia" w:ascii="仿宋" w:hAnsi="仿宋" w:eastAsia="仿宋" w:cs="仿宋"/>
                <w:sz w:val="20"/>
                <w:szCs w:val="18"/>
                <w:vertAlign w:val="baseline"/>
                <w:lang w:eastAsia="zh-CN"/>
              </w:rPr>
              <w:t>（</w:t>
            </w:r>
            <w:r>
              <w:rPr>
                <w:rFonts w:hint="eastAsia" w:ascii="仿宋" w:hAnsi="仿宋" w:eastAsia="仿宋" w:cs="仿宋"/>
                <w:sz w:val="20"/>
                <w:szCs w:val="18"/>
                <w:vertAlign w:val="baseline"/>
                <w:lang w:val="en-US" w:eastAsia="zh-CN"/>
              </w:rPr>
              <w:t>2</w:t>
            </w:r>
            <w:r>
              <w:rPr>
                <w:rFonts w:hint="eastAsia" w:ascii="仿宋" w:hAnsi="仿宋" w:eastAsia="仿宋" w:cs="仿宋"/>
                <w:sz w:val="20"/>
                <w:szCs w:val="18"/>
                <w:vertAlign w:val="baseline"/>
                <w:lang w:eastAsia="zh-CN"/>
              </w:rPr>
              <w:t>）</w:t>
            </w:r>
            <w:r>
              <w:rPr>
                <w:rFonts w:hint="eastAsia" w:ascii="仿宋" w:hAnsi="仿宋" w:eastAsia="仿宋" w:cs="仿宋"/>
                <w:sz w:val="20"/>
                <w:szCs w:val="18"/>
                <w:vertAlign w:val="baseline"/>
              </w:rPr>
              <w:t>安全可靠性要求:线路具有良好的安全性考虑，要求线路具有强生存性有保护功能以具相当的抵抗电路故障、设备故障及环境风险的能力。</w:t>
            </w:r>
          </w:p>
          <w:p w14:paraId="1A1B4630">
            <w:pPr>
              <w:keepNext w:val="0"/>
              <w:keepLines w:val="0"/>
              <w:widowControl/>
              <w:numPr>
                <w:ilvl w:val="0"/>
                <w:numId w:val="0"/>
              </w:numPr>
              <w:suppressLineNumbers w:val="0"/>
              <w:spacing w:line="240" w:lineRule="auto"/>
              <w:ind w:left="425" w:leftChars="0" w:hanging="425" w:firstLineChars="0"/>
              <w:jc w:val="left"/>
              <w:rPr>
                <w:rFonts w:hint="default" w:ascii="仿宋" w:hAnsi="仿宋" w:eastAsia="仿宋" w:cs="仿宋"/>
                <w:sz w:val="20"/>
                <w:szCs w:val="18"/>
                <w:vertAlign w:val="baseline"/>
                <w:lang w:val="en-US" w:eastAsia="zh-CN"/>
              </w:rPr>
            </w:pPr>
            <w:r>
              <w:rPr>
                <w:rFonts w:hint="eastAsia" w:ascii="仿宋" w:hAnsi="仿宋" w:eastAsia="仿宋" w:cs="仿宋"/>
                <w:sz w:val="20"/>
                <w:szCs w:val="18"/>
                <w:vertAlign w:val="baseline"/>
                <w:lang w:eastAsia="zh-CN"/>
              </w:rPr>
              <w:t>（</w:t>
            </w:r>
            <w:r>
              <w:rPr>
                <w:rFonts w:hint="eastAsia" w:ascii="仿宋" w:hAnsi="仿宋" w:eastAsia="仿宋" w:cs="仿宋"/>
                <w:sz w:val="20"/>
                <w:szCs w:val="18"/>
                <w:vertAlign w:val="baseline"/>
                <w:lang w:val="en-US" w:eastAsia="zh-CN"/>
              </w:rPr>
              <w:t>3</w:t>
            </w:r>
            <w:r>
              <w:rPr>
                <w:rFonts w:hint="eastAsia" w:ascii="仿宋" w:hAnsi="仿宋" w:eastAsia="仿宋" w:cs="仿宋"/>
                <w:sz w:val="20"/>
                <w:szCs w:val="18"/>
                <w:vertAlign w:val="baseline"/>
                <w:lang w:eastAsia="zh-CN"/>
              </w:rPr>
              <w:t>）组网、安装线路及服务要求:提供的网络具有高可靠性，保证业务系统的正常运行，具有完备的网络健康保障及运营支持体系；供应商提供的网络必须具有很强的安全保密性，确保数据传输的安全与保密，具有完善的安全保障措施</w:t>
            </w:r>
            <w:r>
              <w:rPr>
                <w:rFonts w:hint="eastAsia" w:ascii="仿宋" w:hAnsi="仿宋" w:eastAsia="仿宋" w:cs="仿宋"/>
                <w:sz w:val="20"/>
                <w:szCs w:val="18"/>
                <w:vertAlign w:val="baseline"/>
                <w:lang w:val="en-US" w:eastAsia="zh-CN"/>
              </w:rPr>
              <w:t>;</w:t>
            </w:r>
          </w:p>
          <w:p w14:paraId="2BAD05E5">
            <w:pPr>
              <w:keepNext w:val="0"/>
              <w:keepLines w:val="0"/>
              <w:widowControl/>
              <w:numPr>
                <w:ilvl w:val="0"/>
                <w:numId w:val="0"/>
              </w:numPr>
              <w:suppressLineNumbers w:val="0"/>
              <w:spacing w:line="240" w:lineRule="auto"/>
              <w:ind w:left="425" w:leftChars="0" w:hanging="425" w:firstLineChars="0"/>
              <w:jc w:val="left"/>
              <w:rPr>
                <w:rFonts w:hint="default" w:ascii="仿宋" w:hAnsi="仿宋" w:eastAsia="仿宋" w:cs="仿宋"/>
                <w:sz w:val="20"/>
                <w:szCs w:val="18"/>
                <w:vertAlign w:val="baseline"/>
                <w:lang w:val="en-US" w:eastAsia="zh-CN"/>
              </w:rPr>
            </w:pPr>
            <w:r>
              <w:rPr>
                <w:rFonts w:hint="eastAsia" w:ascii="仿宋" w:hAnsi="仿宋" w:eastAsia="仿宋" w:cs="仿宋"/>
                <w:sz w:val="20"/>
                <w:szCs w:val="18"/>
                <w:vertAlign w:val="baseline"/>
                <w:lang w:val="en-US" w:eastAsia="zh-CN"/>
              </w:rPr>
              <w:t>(4)</w:t>
            </w:r>
            <w:r>
              <w:rPr>
                <w:rFonts w:hint="eastAsia" w:ascii="仿宋" w:hAnsi="仿宋" w:eastAsia="仿宋" w:cs="仿宋"/>
                <w:sz w:val="20"/>
                <w:szCs w:val="18"/>
                <w:vertAlign w:val="baseline"/>
                <w:lang w:eastAsia="zh-CN"/>
              </w:rPr>
              <w:t>质保期≥1年</w:t>
            </w:r>
            <w:r>
              <w:rPr>
                <w:rFonts w:hint="eastAsia" w:ascii="仿宋" w:hAnsi="仿宋" w:eastAsia="仿宋" w:cs="仿宋"/>
                <w:sz w:val="20"/>
                <w:szCs w:val="18"/>
                <w:vertAlign w:val="baseline"/>
                <w:lang w:val="en-US" w:eastAsia="zh-CN"/>
              </w:rPr>
              <w:t>,故障响应机制：设立 7×24 小时服务热线，在接到医院故障通知后，技术人员需在 30 分钟内迅速响应，并在 2 小时内解决故障,最大程度降低网络故障对医院业务的不利影响;</w:t>
            </w:r>
          </w:p>
          <w:p w14:paraId="4A0F9A05">
            <w:pPr>
              <w:numPr>
                <w:ilvl w:val="0"/>
                <w:numId w:val="0"/>
              </w:numPr>
              <w:spacing w:line="240" w:lineRule="auto"/>
              <w:jc w:val="left"/>
              <w:rPr>
                <w:rFonts w:hint="default" w:ascii="仿宋" w:hAnsi="仿宋" w:eastAsia="仿宋" w:cs="仿宋"/>
                <w:sz w:val="20"/>
                <w:szCs w:val="18"/>
                <w:vertAlign w:val="baseline"/>
                <w:lang w:val="en-US" w:eastAsia="zh-CN"/>
              </w:rPr>
            </w:pPr>
            <w:r>
              <w:rPr>
                <w:rFonts w:hint="eastAsia" w:ascii="仿宋" w:hAnsi="仿宋" w:eastAsia="仿宋" w:cs="仿宋"/>
                <w:sz w:val="20"/>
                <w:szCs w:val="18"/>
                <w:vertAlign w:val="baseline"/>
                <w:lang w:val="en-US" w:eastAsia="zh-CN"/>
              </w:rPr>
              <w:t>(5)故障赔偿：在租用电路业务期间，若因运营商原因（如未提前通知甲方的升级或割接、光缆被挖断等）导致电路出现计划外中断，且中断时间</w:t>
            </w:r>
            <w:r>
              <w:rPr>
                <w:rFonts w:hint="eastAsia" w:ascii="仿宋" w:hAnsi="仿宋" w:eastAsia="仿宋" w:cs="仿宋"/>
                <w:sz w:val="20"/>
                <w:szCs w:val="18"/>
                <w:vertAlign w:val="baseline"/>
                <w:lang w:eastAsia="zh-CN"/>
              </w:rPr>
              <w:t>≥</w:t>
            </w:r>
            <w:r>
              <w:rPr>
                <w:rFonts w:hint="eastAsia" w:ascii="仿宋" w:hAnsi="仿宋" w:eastAsia="仿宋" w:cs="仿宋"/>
                <w:sz w:val="20"/>
                <w:szCs w:val="18"/>
                <w:vertAlign w:val="baseline"/>
                <w:lang w:val="en-US" w:eastAsia="zh-CN"/>
              </w:rPr>
              <w:t xml:space="preserve"> 30 分钟，甲方有权扣除乙方中断线路当月电路租费的50%。</w:t>
            </w:r>
          </w:p>
        </w:tc>
        <w:tc>
          <w:tcPr>
            <w:tcW w:w="887" w:type="dxa"/>
            <w:vAlign w:val="center"/>
          </w:tcPr>
          <w:p w14:paraId="0DD3F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4050/月</w:t>
            </w:r>
          </w:p>
        </w:tc>
        <w:tc>
          <w:tcPr>
            <w:tcW w:w="838" w:type="dxa"/>
            <w:vAlign w:val="center"/>
          </w:tcPr>
          <w:p w14:paraId="6629AA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1条</w:t>
            </w:r>
          </w:p>
        </w:tc>
        <w:tc>
          <w:tcPr>
            <w:tcW w:w="887" w:type="dxa"/>
            <w:vAlign w:val="center"/>
          </w:tcPr>
          <w:p w14:paraId="4BE0AA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48600/年</w:t>
            </w:r>
          </w:p>
        </w:tc>
        <w:tc>
          <w:tcPr>
            <w:tcW w:w="925" w:type="dxa"/>
            <w:vAlign w:val="center"/>
          </w:tcPr>
          <w:p w14:paraId="1ABD54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r>
    </w:tbl>
    <w:p w14:paraId="7CA3DE6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11005"/>
      <w:bookmarkStart w:id="6" w:name="_Toc22109"/>
    </w:p>
    <w:p w14:paraId="1AC5BB1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EF7606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66AB62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3、各级代理资质材料：营业执照、各级经销商授权书等；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5、价格证明材料：近一年内的证明材料，如开具的增值税专用发票复印件（发票内容是响应服务在其他单位的供货价）等；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797BCF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4D5786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BE7F8D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16138E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B65FC6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000DB3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794A45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17483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bookmarkStart w:id="11" w:name="_GoBack"/>
      <w:bookmarkEnd w:id="11"/>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3589BA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52D3B24"/>
    <w:rsid w:val="0715148C"/>
    <w:rsid w:val="07D97B6D"/>
    <w:rsid w:val="082F2A70"/>
    <w:rsid w:val="08E053FD"/>
    <w:rsid w:val="0B3C188E"/>
    <w:rsid w:val="0B603E17"/>
    <w:rsid w:val="0BC41F21"/>
    <w:rsid w:val="0F07199D"/>
    <w:rsid w:val="110C12EC"/>
    <w:rsid w:val="12040D82"/>
    <w:rsid w:val="121865DB"/>
    <w:rsid w:val="124D331C"/>
    <w:rsid w:val="12D55D1E"/>
    <w:rsid w:val="14694F50"/>
    <w:rsid w:val="14C76F80"/>
    <w:rsid w:val="15E12F09"/>
    <w:rsid w:val="160B61C2"/>
    <w:rsid w:val="193E2DCB"/>
    <w:rsid w:val="198F2D53"/>
    <w:rsid w:val="1A66082C"/>
    <w:rsid w:val="1A9A51D3"/>
    <w:rsid w:val="1AFD138A"/>
    <w:rsid w:val="1D2C5AC6"/>
    <w:rsid w:val="1EE838F2"/>
    <w:rsid w:val="1FF50CA5"/>
    <w:rsid w:val="23E72ABF"/>
    <w:rsid w:val="25990493"/>
    <w:rsid w:val="26083FB3"/>
    <w:rsid w:val="270B08D2"/>
    <w:rsid w:val="279D1605"/>
    <w:rsid w:val="27AD6D69"/>
    <w:rsid w:val="27D36E27"/>
    <w:rsid w:val="294E055C"/>
    <w:rsid w:val="296E14AB"/>
    <w:rsid w:val="2AB41CB1"/>
    <w:rsid w:val="2AD16DE9"/>
    <w:rsid w:val="2C2E3173"/>
    <w:rsid w:val="2C4209CD"/>
    <w:rsid w:val="2CA31C32"/>
    <w:rsid w:val="2D375F5B"/>
    <w:rsid w:val="2DEC299E"/>
    <w:rsid w:val="2E400F3C"/>
    <w:rsid w:val="300E12F2"/>
    <w:rsid w:val="320550BC"/>
    <w:rsid w:val="32CF25C1"/>
    <w:rsid w:val="33AA7021"/>
    <w:rsid w:val="34BE38FF"/>
    <w:rsid w:val="359B6DED"/>
    <w:rsid w:val="35BB5A78"/>
    <w:rsid w:val="3627310D"/>
    <w:rsid w:val="36C721FA"/>
    <w:rsid w:val="36D371B1"/>
    <w:rsid w:val="372C3619"/>
    <w:rsid w:val="37BC1633"/>
    <w:rsid w:val="37DD7A85"/>
    <w:rsid w:val="382A5002"/>
    <w:rsid w:val="387E2B20"/>
    <w:rsid w:val="38FC00EF"/>
    <w:rsid w:val="39FC3049"/>
    <w:rsid w:val="3AE076E5"/>
    <w:rsid w:val="3B4E3ED9"/>
    <w:rsid w:val="3C5A27F2"/>
    <w:rsid w:val="3CA737D7"/>
    <w:rsid w:val="3D475E43"/>
    <w:rsid w:val="3DC8013A"/>
    <w:rsid w:val="3E6158D5"/>
    <w:rsid w:val="417E123A"/>
    <w:rsid w:val="44B53FC2"/>
    <w:rsid w:val="46A24A05"/>
    <w:rsid w:val="477D4822"/>
    <w:rsid w:val="48AA548E"/>
    <w:rsid w:val="4973433F"/>
    <w:rsid w:val="49E45221"/>
    <w:rsid w:val="4CD3045E"/>
    <w:rsid w:val="4CD86AB8"/>
    <w:rsid w:val="4D84279B"/>
    <w:rsid w:val="4E056021"/>
    <w:rsid w:val="4F3F325D"/>
    <w:rsid w:val="502668C8"/>
    <w:rsid w:val="50AC2F0C"/>
    <w:rsid w:val="51542485"/>
    <w:rsid w:val="52074D56"/>
    <w:rsid w:val="556E3867"/>
    <w:rsid w:val="55A97849"/>
    <w:rsid w:val="56F03878"/>
    <w:rsid w:val="57F50C15"/>
    <w:rsid w:val="58263B5F"/>
    <w:rsid w:val="5927777C"/>
    <w:rsid w:val="59396B30"/>
    <w:rsid w:val="59F618C3"/>
    <w:rsid w:val="5B910C25"/>
    <w:rsid w:val="5B975D90"/>
    <w:rsid w:val="5C4F02C9"/>
    <w:rsid w:val="5DFE3466"/>
    <w:rsid w:val="5E8819C0"/>
    <w:rsid w:val="5F9A5527"/>
    <w:rsid w:val="60D35759"/>
    <w:rsid w:val="62402164"/>
    <w:rsid w:val="632F44C3"/>
    <w:rsid w:val="64394349"/>
    <w:rsid w:val="646A2293"/>
    <w:rsid w:val="64F462FB"/>
    <w:rsid w:val="68DD679C"/>
    <w:rsid w:val="68F10B4B"/>
    <w:rsid w:val="6C1D7BEB"/>
    <w:rsid w:val="6C512C2D"/>
    <w:rsid w:val="6D773183"/>
    <w:rsid w:val="6E713C29"/>
    <w:rsid w:val="6F137C43"/>
    <w:rsid w:val="6FCF4D06"/>
    <w:rsid w:val="706E0E5B"/>
    <w:rsid w:val="711F7AFA"/>
    <w:rsid w:val="71723597"/>
    <w:rsid w:val="727C6025"/>
    <w:rsid w:val="7315161C"/>
    <w:rsid w:val="73BF3D9C"/>
    <w:rsid w:val="75570F51"/>
    <w:rsid w:val="75E4177A"/>
    <w:rsid w:val="76674F0A"/>
    <w:rsid w:val="77183DD1"/>
    <w:rsid w:val="77601667"/>
    <w:rsid w:val="77F6531D"/>
    <w:rsid w:val="784371B5"/>
    <w:rsid w:val="787E5EB6"/>
    <w:rsid w:val="78D2700F"/>
    <w:rsid w:val="7B223BA3"/>
    <w:rsid w:val="7B4938DA"/>
    <w:rsid w:val="7B611E27"/>
    <w:rsid w:val="7B870218"/>
    <w:rsid w:val="7C7D61BD"/>
    <w:rsid w:val="7D760796"/>
    <w:rsid w:val="7DA81FA1"/>
    <w:rsid w:val="7DD218FE"/>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925</Words>
  <Characters>1123</Characters>
  <Lines>0</Lines>
  <Paragraphs>0</Paragraphs>
  <TotalTime>98</TotalTime>
  <ScaleCrop>false</ScaleCrop>
  <LinksUpToDate>false</LinksUpToDate>
  <CharactersWithSpaces>1167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2025-05-20T07:24:00Z</cp:lastPrinted>
  <dcterms:modified xsi:type="dcterms:W3CDTF">2025-12-31T05:09:24Z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