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污水站排气筒维护服务采购项目</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205</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5"/>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5"/>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青岛市妇女儿童医院污水站排气筒维护服务采购项目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1、项目名称：青岛市妇女儿童医院污水站排气筒维护服务采购项目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205</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102762BF">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须具有环保工程专业承包三级及以上资质及安全生产许可证；</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5.1.7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1"/>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5"/>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污水站排气筒维护服务采购项目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205</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32B7D59">
      <w:pPr>
        <w:pStyle w:val="2"/>
        <w:spacing w:line="360" w:lineRule="auto"/>
        <w:ind w:firstLine="0"/>
        <w:rPr>
          <w:rFonts w:hint="eastAsia" w:ascii="仿宋_GB2312" w:hAnsi="仿宋" w:eastAsia="仿宋_GB2312" w:cs="仿宋"/>
          <w:b/>
          <w:bCs/>
          <w:sz w:val="24"/>
          <w:szCs w:val="24"/>
          <w:vertAlign w:val="baseline"/>
        </w:rPr>
      </w:pPr>
      <w:bookmarkStart w:id="5" w:name="_Toc22109"/>
      <w:bookmarkStart w:id="6" w:name="_Toc11005"/>
      <w:r>
        <w:rPr>
          <w:rFonts w:hint="eastAsia" w:ascii="仿宋_GB2312" w:hAnsi="仿宋" w:eastAsia="仿宋_GB2312" w:cs="仿宋"/>
          <w:b/>
          <w:bCs/>
          <w:sz w:val="24"/>
          <w:szCs w:val="24"/>
          <w:vertAlign w:val="baseline"/>
          <w:lang w:val="en-US" w:eastAsia="zh-CN"/>
        </w:rPr>
        <w:t xml:space="preserve">3.1 </w:t>
      </w:r>
      <w:r>
        <w:rPr>
          <w:rFonts w:hint="eastAsia" w:ascii="仿宋_GB2312" w:hAnsi="仿宋" w:eastAsia="仿宋_GB2312" w:cs="仿宋"/>
          <w:b/>
          <w:bCs/>
          <w:sz w:val="24"/>
          <w:szCs w:val="24"/>
          <w:vertAlign w:val="baseline"/>
        </w:rPr>
        <w:t>项目背景</w:t>
      </w:r>
    </w:p>
    <w:p w14:paraId="4674A90E">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青岛市妇女儿童医院辽阳路院区日设计处理污水量1200立方米，污水站设计为24小时连续运行。本院区污水站废气处理设计采用“喷淋塔+UV光解+活性炭”处理工艺，污水站排气筒排气标准需达到《恶臭污染物排放标准》(GB1455-93)中表2标准，污水站周边达到《医疗机构水污染物排放标准》(GB1846-2005)中表3标准以及排污许可证要求。目前排气筒已使用多年，铁皮锈蚀严重，存在倒塌风险。</w:t>
      </w:r>
    </w:p>
    <w:p w14:paraId="0486633E">
      <w:pPr>
        <w:pStyle w:val="2"/>
        <w:spacing w:line="360" w:lineRule="auto"/>
        <w:ind w:firstLine="0"/>
        <w:rPr>
          <w:rFonts w:hint="eastAsia" w:ascii="仿宋_GB2312" w:hAnsi="仿宋" w:eastAsia="仿宋_GB2312" w:cs="仿宋"/>
          <w:b/>
          <w:bCs/>
          <w:sz w:val="24"/>
          <w:szCs w:val="24"/>
          <w:vertAlign w:val="baseline"/>
        </w:rPr>
      </w:pPr>
      <w:r>
        <w:rPr>
          <w:rFonts w:hint="eastAsia" w:ascii="仿宋_GB2312" w:hAnsi="仿宋" w:eastAsia="仿宋_GB2312" w:cs="仿宋"/>
          <w:b/>
          <w:bCs/>
          <w:sz w:val="24"/>
          <w:szCs w:val="24"/>
          <w:vertAlign w:val="baseline"/>
          <w:lang w:val="en-US" w:eastAsia="zh-CN"/>
        </w:rPr>
        <w:t xml:space="preserve">3.2 </w:t>
      </w:r>
      <w:r>
        <w:rPr>
          <w:rFonts w:hint="eastAsia" w:ascii="仿宋_GB2312" w:hAnsi="仿宋" w:eastAsia="仿宋_GB2312" w:cs="仿宋"/>
          <w:b/>
          <w:bCs/>
          <w:sz w:val="24"/>
          <w:szCs w:val="24"/>
          <w:vertAlign w:val="baseline"/>
        </w:rPr>
        <w:t>项目需求</w:t>
      </w:r>
    </w:p>
    <w:p w14:paraId="3299FD3E">
      <w:pPr>
        <w:spacing w:line="360" w:lineRule="auto"/>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lang w:val="en-US" w:eastAsia="zh-CN"/>
        </w:rPr>
        <w:t xml:space="preserve">3.2.1 </w:t>
      </w:r>
      <w:r>
        <w:rPr>
          <w:rFonts w:hint="eastAsia" w:ascii="仿宋_GB2312" w:hAnsi="仿宋" w:eastAsia="仿宋_GB2312" w:cs="仿宋"/>
          <w:sz w:val="24"/>
          <w:szCs w:val="24"/>
          <w:vertAlign w:val="baseline"/>
        </w:rPr>
        <w:t>排气筒</w:t>
      </w:r>
    </w:p>
    <w:p w14:paraId="58950472">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本院区污水处理站建有一根排气筒，需拆除原有设备并进行维修更换工作。</w:t>
      </w:r>
    </w:p>
    <w:p w14:paraId="67D869D8">
      <w:pPr>
        <w:spacing w:line="360" w:lineRule="auto"/>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lang w:val="en-US" w:eastAsia="zh-CN"/>
        </w:rPr>
        <w:t xml:space="preserve">3.2.2 </w:t>
      </w:r>
      <w:r>
        <w:rPr>
          <w:rFonts w:hint="eastAsia" w:ascii="仿宋_GB2312" w:hAnsi="仿宋" w:eastAsia="仿宋_GB2312" w:cs="仿宋"/>
          <w:sz w:val="24"/>
          <w:szCs w:val="24"/>
          <w:vertAlign w:val="baseline"/>
        </w:rPr>
        <w:t>废气采样平台</w:t>
      </w:r>
    </w:p>
    <w:p w14:paraId="74617AE7">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本院区目前设有简易采样平台，本次在原有平台基础上，改造采样平台相关设施，确保符合国家标准。</w:t>
      </w:r>
    </w:p>
    <w:p w14:paraId="5FD9661B">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维修服务期间需根据院方要求办理相关作业手续，手续齐全后方可进行作业。施工期间污水站排气筒排气标准需达到《恶臭污染物排放标准》(GB1455-93)中表2标准，污水站周边达到《医疗机构水污染物排放标准》(GB1846-2005)中表3标准以及排污许可证要求。排气筒及采样平台应按照《固定源废气监测技术规范》（HJ/T397-2007）要求进行维修。</w:t>
      </w:r>
    </w:p>
    <w:p w14:paraId="322EFDD7">
      <w:pPr>
        <w:pStyle w:val="2"/>
        <w:spacing w:line="360" w:lineRule="auto"/>
        <w:ind w:firstLine="0"/>
        <w:rPr>
          <w:rFonts w:hint="eastAsia" w:ascii="仿宋_GB2312" w:hAnsi="仿宋" w:eastAsia="仿宋_GB2312" w:cs="仿宋"/>
          <w:b/>
          <w:bCs/>
          <w:sz w:val="24"/>
          <w:szCs w:val="24"/>
          <w:vertAlign w:val="baseline"/>
        </w:rPr>
      </w:pPr>
      <w:r>
        <w:rPr>
          <w:rFonts w:hint="eastAsia" w:ascii="仿宋_GB2312" w:hAnsi="仿宋" w:eastAsia="仿宋_GB2312" w:cs="仿宋"/>
          <w:b/>
          <w:bCs/>
          <w:sz w:val="24"/>
          <w:szCs w:val="24"/>
          <w:vertAlign w:val="baseline"/>
          <w:lang w:val="en-US" w:eastAsia="zh-CN"/>
        </w:rPr>
        <w:t xml:space="preserve">3.3 </w:t>
      </w:r>
      <w:r>
        <w:rPr>
          <w:rFonts w:hint="eastAsia" w:ascii="仿宋_GB2312" w:hAnsi="仿宋" w:eastAsia="仿宋_GB2312" w:cs="仿宋"/>
          <w:b/>
          <w:bCs/>
          <w:sz w:val="24"/>
          <w:szCs w:val="24"/>
          <w:vertAlign w:val="baseline"/>
        </w:rPr>
        <w:t>其他要求</w:t>
      </w:r>
    </w:p>
    <w:p w14:paraId="4FCCE763">
      <w:pPr>
        <w:spacing w:line="360" w:lineRule="auto"/>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lang w:val="en-US" w:eastAsia="zh-CN"/>
        </w:rPr>
        <w:t xml:space="preserve">3.3.1 </w:t>
      </w:r>
      <w:r>
        <w:rPr>
          <w:rFonts w:hint="eastAsia" w:ascii="仿宋_GB2312" w:hAnsi="仿宋" w:eastAsia="仿宋_GB2312" w:cs="仿宋"/>
          <w:sz w:val="24"/>
          <w:szCs w:val="24"/>
          <w:vertAlign w:val="baseline"/>
        </w:rPr>
        <w:t>项目期限</w:t>
      </w:r>
    </w:p>
    <w:p w14:paraId="02D5A958">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项目应</w:t>
      </w:r>
      <w:r>
        <w:rPr>
          <w:rFonts w:hint="eastAsia" w:ascii="仿宋_GB2312" w:hAnsi="仿宋" w:eastAsia="仿宋_GB2312" w:cs="仿宋"/>
          <w:sz w:val="24"/>
          <w:szCs w:val="24"/>
          <w:vertAlign w:val="baseline"/>
          <w:lang w:val="en-US" w:eastAsia="zh-CN"/>
        </w:rPr>
        <w:t>于采购协议签订后30</w:t>
      </w:r>
      <w:r>
        <w:rPr>
          <w:rFonts w:hint="eastAsia" w:ascii="仿宋_GB2312" w:hAnsi="仿宋" w:eastAsia="仿宋_GB2312" w:cs="仿宋"/>
          <w:sz w:val="24"/>
          <w:szCs w:val="24"/>
          <w:vertAlign w:val="baseline"/>
        </w:rPr>
        <w:t>日内完成。</w:t>
      </w:r>
    </w:p>
    <w:p w14:paraId="59CE496B">
      <w:pPr>
        <w:spacing w:line="360" w:lineRule="auto"/>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lang w:val="en-US" w:eastAsia="zh-CN"/>
        </w:rPr>
        <w:t xml:space="preserve">3.3.2 </w:t>
      </w:r>
      <w:r>
        <w:rPr>
          <w:rFonts w:hint="eastAsia" w:ascii="仿宋_GB2312" w:hAnsi="仿宋" w:eastAsia="仿宋_GB2312" w:cs="仿宋"/>
          <w:sz w:val="24"/>
          <w:szCs w:val="24"/>
          <w:vertAlign w:val="baseline"/>
        </w:rPr>
        <w:t>交付要求</w:t>
      </w:r>
    </w:p>
    <w:p w14:paraId="1CA64CCA">
      <w:pPr>
        <w:spacing w:line="360" w:lineRule="auto"/>
        <w:ind w:firstLine="480" w:firstLineChars="200"/>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rPr>
        <w:t>项目安装工作完成后，</w:t>
      </w:r>
      <w:r>
        <w:rPr>
          <w:rFonts w:hint="eastAsia" w:ascii="仿宋_GB2312" w:hAnsi="仿宋" w:eastAsia="仿宋_GB2312" w:cs="仿宋"/>
          <w:sz w:val="24"/>
          <w:szCs w:val="24"/>
          <w:vertAlign w:val="baseline"/>
          <w:lang w:val="en-US" w:eastAsia="zh-CN"/>
        </w:rPr>
        <w:t>成交供应商</w:t>
      </w:r>
      <w:r>
        <w:rPr>
          <w:rFonts w:hint="eastAsia" w:ascii="仿宋_GB2312" w:hAnsi="仿宋" w:eastAsia="仿宋_GB2312" w:cs="仿宋"/>
          <w:sz w:val="24"/>
          <w:szCs w:val="24"/>
          <w:vertAlign w:val="baseline"/>
        </w:rPr>
        <w:t>需配合医院污水站运行方在3个工作日内将污水站各指标调试到正常水平（含废气排放指标、污水站排气筒、废气采样平台等）。如不达标，则不予验收</w:t>
      </w:r>
      <w:r>
        <w:rPr>
          <w:rFonts w:hint="eastAsia" w:ascii="仿宋_GB2312" w:hAnsi="仿宋" w:eastAsia="仿宋_GB2312" w:cs="仿宋"/>
          <w:sz w:val="24"/>
          <w:szCs w:val="24"/>
          <w:vertAlign w:val="baseline"/>
          <w:lang w:eastAsia="zh-CN"/>
        </w:rPr>
        <w:t>。</w:t>
      </w:r>
    </w:p>
    <w:p w14:paraId="2BE35250">
      <w:pPr>
        <w:spacing w:line="360" w:lineRule="auto"/>
        <w:rPr>
          <w:rFonts w:hint="eastAsia" w:ascii="仿宋_GB2312" w:hAnsi="仿宋" w:eastAsia="仿宋_GB2312" w:cs="仿宋"/>
          <w:sz w:val="24"/>
          <w:szCs w:val="24"/>
          <w:vertAlign w:val="baseline"/>
          <w:lang w:eastAsia="zh-CN"/>
        </w:rPr>
      </w:pPr>
      <w:r>
        <w:rPr>
          <w:rFonts w:hint="eastAsia" w:ascii="仿宋_GB2312" w:hAnsi="仿宋" w:eastAsia="仿宋_GB2312" w:cs="仿宋"/>
          <w:sz w:val="24"/>
          <w:szCs w:val="24"/>
          <w:vertAlign w:val="baseline"/>
          <w:lang w:val="en-US" w:eastAsia="zh-CN"/>
        </w:rPr>
        <w:t xml:space="preserve">3.3.3 </w:t>
      </w:r>
      <w:r>
        <w:rPr>
          <w:rFonts w:hint="eastAsia" w:ascii="仿宋_GB2312" w:hAnsi="仿宋" w:eastAsia="仿宋_GB2312" w:cs="仿宋"/>
          <w:sz w:val="24"/>
          <w:szCs w:val="24"/>
          <w:vertAlign w:val="baseline"/>
        </w:rPr>
        <w:t>质保期2年</w:t>
      </w:r>
      <w:r>
        <w:rPr>
          <w:rFonts w:hint="eastAsia" w:ascii="仿宋_GB2312" w:hAnsi="仿宋" w:eastAsia="仿宋_GB2312" w:cs="仿宋"/>
          <w:sz w:val="24"/>
          <w:szCs w:val="24"/>
          <w:vertAlign w:val="baseline"/>
          <w:lang w:eastAsia="zh-CN"/>
        </w:rPr>
        <w:t>。</w:t>
      </w:r>
    </w:p>
    <w:p w14:paraId="59E36D68">
      <w:pPr>
        <w:spacing w:line="360" w:lineRule="auto"/>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lang w:val="en-US" w:eastAsia="zh-CN"/>
        </w:rPr>
        <w:t xml:space="preserve">3.3.4 </w:t>
      </w:r>
      <w:r>
        <w:rPr>
          <w:rFonts w:hint="eastAsia" w:ascii="仿宋_GB2312" w:hAnsi="仿宋" w:eastAsia="仿宋_GB2312" w:cs="仿宋"/>
          <w:sz w:val="24"/>
          <w:szCs w:val="24"/>
          <w:vertAlign w:val="baseline"/>
        </w:rPr>
        <w:t>未尽事宜综合考虑，竣工验收合格后交付使用。</w:t>
      </w:r>
    </w:p>
    <w:p w14:paraId="4FBA52A7">
      <w:pPr>
        <w:pStyle w:val="2"/>
        <w:spacing w:line="360" w:lineRule="auto"/>
        <w:ind w:firstLine="0"/>
        <w:rPr>
          <w:rFonts w:hint="eastAsia" w:ascii="仿宋_GB2312" w:hAnsi="仿宋" w:eastAsia="仿宋_GB2312" w:cs="仿宋"/>
          <w:b/>
          <w:sz w:val="24"/>
          <w:szCs w:val="24"/>
          <w:vertAlign w:val="baseline"/>
        </w:rPr>
      </w:pPr>
      <w:r>
        <w:rPr>
          <w:rFonts w:hint="eastAsia" w:ascii="仿宋_GB2312" w:hAnsi="仿宋" w:eastAsia="仿宋_GB2312" w:cs="仿宋"/>
          <w:b/>
          <w:bCs/>
          <w:sz w:val="24"/>
          <w:szCs w:val="24"/>
          <w:vertAlign w:val="baseline"/>
          <w:lang w:val="en-US" w:eastAsia="zh-CN"/>
        </w:rPr>
        <w:t xml:space="preserve">3.4 </w:t>
      </w:r>
      <w:r>
        <w:rPr>
          <w:rFonts w:hint="eastAsia" w:ascii="仿宋_GB2312" w:hAnsi="仿宋" w:eastAsia="仿宋_GB2312" w:cs="仿宋"/>
          <w:b/>
          <w:sz w:val="24"/>
          <w:szCs w:val="24"/>
          <w:vertAlign w:val="baseline"/>
        </w:rPr>
        <w:t>维修服务清单</w:t>
      </w:r>
    </w:p>
    <w:tbl>
      <w:tblPr>
        <w:tblStyle w:val="11"/>
        <w:tblW w:w="8202" w:type="dxa"/>
        <w:jc w:val="center"/>
        <w:tblLayout w:type="autofit"/>
        <w:tblCellMar>
          <w:top w:w="0" w:type="dxa"/>
          <w:left w:w="108" w:type="dxa"/>
          <w:bottom w:w="0" w:type="dxa"/>
          <w:right w:w="108" w:type="dxa"/>
        </w:tblCellMar>
      </w:tblPr>
      <w:tblGrid>
        <w:gridCol w:w="832"/>
        <w:gridCol w:w="4887"/>
        <w:gridCol w:w="1401"/>
        <w:gridCol w:w="1082"/>
      </w:tblGrid>
      <w:tr w14:paraId="06C04AC2">
        <w:tblPrEx>
          <w:tblCellMar>
            <w:top w:w="0" w:type="dxa"/>
            <w:left w:w="108" w:type="dxa"/>
            <w:bottom w:w="0" w:type="dxa"/>
            <w:right w:w="108" w:type="dxa"/>
          </w:tblCellMar>
        </w:tblPrEx>
        <w:trPr>
          <w:trHeight w:val="381" w:hRule="atLeast"/>
          <w:jc w:val="center"/>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3A01A39D">
            <w:pPr>
              <w:widowControl/>
              <w:spacing w:line="360" w:lineRule="auto"/>
              <w:jc w:val="center"/>
              <w:rPr>
                <w:rFonts w:hint="eastAsia" w:ascii="仿宋_GB2312" w:hAnsi="仿宋" w:eastAsia="仿宋_GB2312" w:cs="Arial"/>
                <w:b/>
                <w:bCs/>
                <w:sz w:val="22"/>
                <w:szCs w:val="22"/>
                <w:vertAlign w:val="baseline"/>
              </w:rPr>
            </w:pPr>
            <w:r>
              <w:rPr>
                <w:rFonts w:hint="eastAsia" w:ascii="仿宋_GB2312" w:hAnsi="仿宋" w:eastAsia="仿宋_GB2312" w:cs="Arial"/>
                <w:b/>
                <w:bCs/>
                <w:sz w:val="22"/>
                <w:szCs w:val="22"/>
                <w:vertAlign w:val="baseline"/>
              </w:rPr>
              <w:t>序号</w:t>
            </w:r>
          </w:p>
        </w:tc>
        <w:tc>
          <w:tcPr>
            <w:tcW w:w="4887" w:type="dxa"/>
            <w:vMerge w:val="restart"/>
            <w:tcBorders>
              <w:top w:val="single" w:color="auto" w:sz="4" w:space="0"/>
              <w:left w:val="single" w:color="auto" w:sz="4" w:space="0"/>
              <w:bottom w:val="single" w:color="auto" w:sz="4" w:space="0"/>
              <w:right w:val="single" w:color="auto" w:sz="4" w:space="0"/>
            </w:tcBorders>
            <w:vAlign w:val="center"/>
          </w:tcPr>
          <w:p w14:paraId="6BEE9ACB">
            <w:pPr>
              <w:widowControl/>
              <w:spacing w:line="360" w:lineRule="auto"/>
              <w:jc w:val="center"/>
              <w:rPr>
                <w:rFonts w:hint="eastAsia" w:ascii="仿宋_GB2312" w:hAnsi="仿宋" w:eastAsia="仿宋_GB2312" w:cs="Arial"/>
                <w:b/>
                <w:bCs/>
                <w:sz w:val="22"/>
                <w:szCs w:val="22"/>
                <w:vertAlign w:val="baseline"/>
              </w:rPr>
            </w:pPr>
            <w:r>
              <w:rPr>
                <w:rFonts w:hint="eastAsia" w:ascii="仿宋_GB2312" w:hAnsi="仿宋" w:eastAsia="仿宋_GB2312" w:cs="Arial"/>
                <w:b/>
                <w:bCs/>
                <w:sz w:val="22"/>
                <w:szCs w:val="22"/>
                <w:vertAlign w:val="baseline"/>
              </w:rPr>
              <w:t>项目名称及参数</w:t>
            </w:r>
          </w:p>
        </w:tc>
        <w:tc>
          <w:tcPr>
            <w:tcW w:w="1401" w:type="dxa"/>
            <w:vMerge w:val="restart"/>
            <w:tcBorders>
              <w:top w:val="single" w:color="auto" w:sz="4" w:space="0"/>
              <w:left w:val="single" w:color="auto" w:sz="4" w:space="0"/>
              <w:bottom w:val="single" w:color="auto" w:sz="4" w:space="0"/>
              <w:right w:val="single" w:color="auto" w:sz="4" w:space="0"/>
            </w:tcBorders>
            <w:vAlign w:val="center"/>
          </w:tcPr>
          <w:p w14:paraId="3BB55901">
            <w:pPr>
              <w:widowControl/>
              <w:spacing w:line="360" w:lineRule="auto"/>
              <w:jc w:val="center"/>
              <w:rPr>
                <w:rFonts w:hint="eastAsia" w:ascii="仿宋_GB2312" w:hAnsi="仿宋" w:eastAsia="仿宋_GB2312" w:cs="Arial"/>
                <w:b/>
                <w:bCs/>
                <w:sz w:val="22"/>
                <w:szCs w:val="22"/>
                <w:vertAlign w:val="baseline"/>
              </w:rPr>
            </w:pPr>
            <w:r>
              <w:rPr>
                <w:rFonts w:hint="eastAsia" w:ascii="仿宋_GB2312" w:hAnsi="仿宋" w:eastAsia="仿宋_GB2312" w:cs="Arial"/>
                <w:b/>
                <w:bCs/>
                <w:sz w:val="22"/>
                <w:szCs w:val="22"/>
                <w:vertAlign w:val="baseline"/>
              </w:rPr>
              <w:t>计量单位</w:t>
            </w:r>
          </w:p>
        </w:tc>
        <w:tc>
          <w:tcPr>
            <w:tcW w:w="1082" w:type="dxa"/>
            <w:vMerge w:val="restart"/>
            <w:tcBorders>
              <w:top w:val="single" w:color="auto" w:sz="4" w:space="0"/>
              <w:left w:val="single" w:color="auto" w:sz="4" w:space="0"/>
              <w:bottom w:val="single" w:color="auto" w:sz="4" w:space="0"/>
              <w:right w:val="single" w:color="auto" w:sz="4" w:space="0"/>
            </w:tcBorders>
            <w:vAlign w:val="center"/>
          </w:tcPr>
          <w:p w14:paraId="37244D8F">
            <w:pPr>
              <w:widowControl/>
              <w:spacing w:line="360" w:lineRule="auto"/>
              <w:jc w:val="center"/>
              <w:rPr>
                <w:rFonts w:hint="eastAsia" w:ascii="仿宋_GB2312" w:hAnsi="仿宋" w:eastAsia="仿宋_GB2312" w:cs="Arial"/>
                <w:b/>
                <w:bCs/>
                <w:sz w:val="22"/>
                <w:szCs w:val="22"/>
                <w:vertAlign w:val="baseline"/>
              </w:rPr>
            </w:pPr>
            <w:r>
              <w:rPr>
                <w:rFonts w:hint="eastAsia" w:ascii="仿宋_GB2312" w:hAnsi="仿宋" w:eastAsia="仿宋_GB2312" w:cs="Arial"/>
                <w:b/>
                <w:bCs/>
                <w:sz w:val="22"/>
                <w:szCs w:val="22"/>
                <w:vertAlign w:val="baseline"/>
              </w:rPr>
              <w:t>数量</w:t>
            </w:r>
          </w:p>
        </w:tc>
      </w:tr>
      <w:tr w14:paraId="3D590A92">
        <w:tblPrEx>
          <w:tblCellMar>
            <w:top w:w="0" w:type="dxa"/>
            <w:left w:w="108" w:type="dxa"/>
            <w:bottom w:w="0" w:type="dxa"/>
            <w:right w:w="108" w:type="dxa"/>
          </w:tblCellMar>
        </w:tblPrEx>
        <w:trPr>
          <w:trHeight w:val="389"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1A00A5DB">
            <w:pPr>
              <w:widowControl/>
              <w:spacing w:line="360" w:lineRule="auto"/>
              <w:jc w:val="left"/>
              <w:rPr>
                <w:rFonts w:hint="eastAsia" w:ascii="仿宋_GB2312" w:hAnsi="仿宋" w:eastAsia="仿宋_GB2312" w:cs="Arial"/>
                <w:b/>
                <w:bCs/>
                <w:sz w:val="22"/>
                <w:szCs w:val="22"/>
                <w:highlight w:val="yellow"/>
                <w:vertAlign w:val="baseline"/>
              </w:rPr>
            </w:pPr>
          </w:p>
        </w:tc>
        <w:tc>
          <w:tcPr>
            <w:tcW w:w="4887" w:type="dxa"/>
            <w:vMerge w:val="continue"/>
            <w:tcBorders>
              <w:top w:val="single" w:color="auto" w:sz="4" w:space="0"/>
              <w:left w:val="single" w:color="auto" w:sz="4" w:space="0"/>
              <w:bottom w:val="single" w:color="auto" w:sz="4" w:space="0"/>
              <w:right w:val="single" w:color="auto" w:sz="4" w:space="0"/>
            </w:tcBorders>
            <w:vAlign w:val="center"/>
          </w:tcPr>
          <w:p w14:paraId="25E790EF">
            <w:pPr>
              <w:widowControl/>
              <w:spacing w:line="360" w:lineRule="auto"/>
              <w:jc w:val="left"/>
              <w:rPr>
                <w:rFonts w:hint="eastAsia" w:ascii="仿宋_GB2312" w:hAnsi="仿宋" w:eastAsia="仿宋_GB2312" w:cs="Arial"/>
                <w:b/>
                <w:bCs/>
                <w:sz w:val="22"/>
                <w:szCs w:val="22"/>
                <w:highlight w:val="yellow"/>
                <w:vertAlign w:val="baseline"/>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14:paraId="3FAFFA84">
            <w:pPr>
              <w:widowControl/>
              <w:spacing w:line="360" w:lineRule="auto"/>
              <w:jc w:val="left"/>
              <w:rPr>
                <w:rFonts w:hint="eastAsia" w:ascii="仿宋_GB2312" w:hAnsi="仿宋" w:eastAsia="仿宋_GB2312" w:cs="Arial"/>
                <w:b/>
                <w:bCs/>
                <w:sz w:val="22"/>
                <w:szCs w:val="22"/>
                <w:highlight w:val="yellow"/>
                <w:vertAlign w:val="baseline"/>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5D2A5DB0">
            <w:pPr>
              <w:widowControl/>
              <w:spacing w:line="360" w:lineRule="auto"/>
              <w:jc w:val="left"/>
              <w:rPr>
                <w:rFonts w:hint="eastAsia" w:ascii="仿宋_GB2312" w:hAnsi="仿宋" w:eastAsia="仿宋_GB2312" w:cs="Arial"/>
                <w:b/>
                <w:bCs/>
                <w:sz w:val="22"/>
                <w:szCs w:val="22"/>
                <w:highlight w:val="yellow"/>
                <w:vertAlign w:val="baseline"/>
              </w:rPr>
            </w:pPr>
          </w:p>
        </w:tc>
      </w:tr>
      <w:tr w14:paraId="5A9AD981">
        <w:tblPrEx>
          <w:tblCellMar>
            <w:top w:w="0" w:type="dxa"/>
            <w:left w:w="108" w:type="dxa"/>
            <w:bottom w:w="0" w:type="dxa"/>
            <w:right w:w="108" w:type="dxa"/>
          </w:tblCellMar>
        </w:tblPrEx>
        <w:trPr>
          <w:trHeight w:val="827" w:hRule="atLeast"/>
          <w:jc w:val="center"/>
        </w:trPr>
        <w:tc>
          <w:tcPr>
            <w:tcW w:w="832" w:type="dxa"/>
            <w:tcBorders>
              <w:top w:val="nil"/>
              <w:left w:val="single" w:color="auto" w:sz="4" w:space="0"/>
              <w:bottom w:val="single" w:color="auto" w:sz="4" w:space="0"/>
              <w:right w:val="single" w:color="auto" w:sz="4" w:space="0"/>
            </w:tcBorders>
            <w:vAlign w:val="center"/>
          </w:tcPr>
          <w:p w14:paraId="1BF75084">
            <w:pPr>
              <w:widowControl/>
              <w:spacing w:line="360" w:lineRule="auto"/>
              <w:jc w:val="center"/>
              <w:rPr>
                <w:rFonts w:hint="eastAsia" w:ascii="仿宋_GB2312" w:hAnsi="仿宋" w:eastAsia="仿宋_GB2312" w:cs="Arial"/>
                <w:sz w:val="22"/>
                <w:szCs w:val="22"/>
                <w:vertAlign w:val="baseline"/>
              </w:rPr>
            </w:pPr>
            <w:r>
              <w:rPr>
                <w:rFonts w:hint="eastAsia" w:ascii="仿宋_GB2312" w:hAnsi="仿宋" w:eastAsia="仿宋_GB2312" w:cs="Arial"/>
                <w:sz w:val="22"/>
                <w:szCs w:val="22"/>
                <w:vertAlign w:val="baseline"/>
              </w:rPr>
              <w:t>1</w:t>
            </w:r>
          </w:p>
        </w:tc>
        <w:tc>
          <w:tcPr>
            <w:tcW w:w="4887" w:type="dxa"/>
            <w:tcBorders>
              <w:top w:val="nil"/>
              <w:left w:val="nil"/>
              <w:bottom w:val="single" w:color="auto" w:sz="4" w:space="0"/>
              <w:right w:val="single" w:color="auto" w:sz="4" w:space="0"/>
            </w:tcBorders>
            <w:vAlign w:val="center"/>
          </w:tcPr>
          <w:p w14:paraId="7BEB7F77">
            <w:pPr>
              <w:widowControl/>
              <w:spacing w:line="360" w:lineRule="auto"/>
              <w:jc w:val="left"/>
              <w:rPr>
                <w:rFonts w:hint="eastAsia" w:ascii="仿宋_GB2312" w:hAnsi="仿宋" w:eastAsia="仿宋_GB2312" w:cs="仿宋"/>
                <w:sz w:val="22"/>
                <w:szCs w:val="22"/>
                <w:vertAlign w:val="baseline"/>
              </w:rPr>
            </w:pPr>
            <w:r>
              <w:rPr>
                <w:rFonts w:hint="eastAsia" w:ascii="仿宋_GB2312" w:hAnsi="仿宋" w:eastAsia="仿宋_GB2312" w:cs="仿宋"/>
                <w:sz w:val="22"/>
                <w:szCs w:val="22"/>
                <w:vertAlign w:val="baseline"/>
              </w:rPr>
              <w:t>排气筒：</w:t>
            </w:r>
          </w:p>
          <w:p w14:paraId="79D8AABF">
            <w:pPr>
              <w:widowControl/>
              <w:spacing w:line="360" w:lineRule="auto"/>
              <w:jc w:val="left"/>
              <w:rPr>
                <w:rFonts w:hint="eastAsia" w:ascii="仿宋_GB2312" w:hAnsi="仿宋" w:eastAsia="仿宋_GB2312" w:cs="仿宋"/>
                <w:sz w:val="22"/>
                <w:szCs w:val="22"/>
                <w:vertAlign w:val="baseline"/>
              </w:rPr>
            </w:pPr>
            <w:r>
              <w:rPr>
                <w:rFonts w:hint="eastAsia" w:ascii="仿宋_GB2312" w:hAnsi="仿宋" w:eastAsia="仿宋_GB2312" w:cs="仿宋"/>
                <w:sz w:val="22"/>
                <w:szCs w:val="22"/>
                <w:vertAlign w:val="baseline"/>
              </w:rPr>
              <w:t>材质：不锈钢，高度：15米，应配备相关结构件，确保排气筒稳定。</w:t>
            </w:r>
          </w:p>
        </w:tc>
        <w:tc>
          <w:tcPr>
            <w:tcW w:w="1401" w:type="dxa"/>
            <w:tcBorders>
              <w:top w:val="nil"/>
              <w:left w:val="nil"/>
              <w:bottom w:val="single" w:color="auto" w:sz="4" w:space="0"/>
              <w:right w:val="single" w:color="auto" w:sz="4" w:space="0"/>
            </w:tcBorders>
            <w:vAlign w:val="center"/>
          </w:tcPr>
          <w:p w14:paraId="081B5694">
            <w:pPr>
              <w:widowControl/>
              <w:spacing w:line="360" w:lineRule="auto"/>
              <w:jc w:val="center"/>
              <w:rPr>
                <w:rFonts w:hint="eastAsia" w:ascii="仿宋_GB2312" w:hAnsi="仿宋" w:eastAsia="仿宋_GB2312" w:cs="Arial"/>
                <w:sz w:val="22"/>
                <w:szCs w:val="22"/>
                <w:vertAlign w:val="baseline"/>
              </w:rPr>
            </w:pPr>
            <w:r>
              <w:rPr>
                <w:rFonts w:hint="eastAsia" w:ascii="仿宋_GB2312" w:hAnsi="仿宋" w:eastAsia="仿宋_GB2312" w:cs="Arial"/>
                <w:sz w:val="22"/>
                <w:szCs w:val="22"/>
                <w:vertAlign w:val="baseline"/>
              </w:rPr>
              <w:t>套</w:t>
            </w:r>
          </w:p>
        </w:tc>
        <w:tc>
          <w:tcPr>
            <w:tcW w:w="1082" w:type="dxa"/>
            <w:tcBorders>
              <w:top w:val="nil"/>
              <w:left w:val="nil"/>
              <w:bottom w:val="single" w:color="auto" w:sz="4" w:space="0"/>
              <w:right w:val="single" w:color="auto" w:sz="4" w:space="0"/>
            </w:tcBorders>
            <w:noWrap/>
            <w:vAlign w:val="center"/>
          </w:tcPr>
          <w:p w14:paraId="1BD5228A">
            <w:pPr>
              <w:widowControl/>
              <w:spacing w:line="360" w:lineRule="auto"/>
              <w:jc w:val="center"/>
              <w:rPr>
                <w:rFonts w:hint="eastAsia" w:ascii="仿宋_GB2312" w:hAnsi="仿宋" w:eastAsia="仿宋_GB2312" w:cs="Arial"/>
                <w:sz w:val="22"/>
                <w:szCs w:val="22"/>
                <w:vertAlign w:val="baseline"/>
              </w:rPr>
            </w:pPr>
            <w:r>
              <w:rPr>
                <w:rFonts w:hint="eastAsia" w:ascii="仿宋_GB2312" w:hAnsi="仿宋" w:eastAsia="仿宋_GB2312" w:cs="Arial"/>
                <w:sz w:val="22"/>
                <w:szCs w:val="22"/>
                <w:vertAlign w:val="baseline"/>
              </w:rPr>
              <w:t>1</w:t>
            </w:r>
          </w:p>
        </w:tc>
      </w:tr>
      <w:tr w14:paraId="79FA1652">
        <w:tblPrEx>
          <w:tblCellMar>
            <w:top w:w="0" w:type="dxa"/>
            <w:left w:w="108" w:type="dxa"/>
            <w:bottom w:w="0" w:type="dxa"/>
            <w:right w:w="108" w:type="dxa"/>
          </w:tblCellMar>
        </w:tblPrEx>
        <w:trPr>
          <w:trHeight w:val="1246" w:hRule="atLeast"/>
          <w:jc w:val="center"/>
        </w:trPr>
        <w:tc>
          <w:tcPr>
            <w:tcW w:w="832" w:type="dxa"/>
            <w:tcBorders>
              <w:top w:val="nil"/>
              <w:left w:val="single" w:color="auto" w:sz="4" w:space="0"/>
              <w:bottom w:val="single" w:color="auto" w:sz="4" w:space="0"/>
              <w:right w:val="single" w:color="auto" w:sz="4" w:space="0"/>
            </w:tcBorders>
            <w:vAlign w:val="center"/>
          </w:tcPr>
          <w:p w14:paraId="01970DBF">
            <w:pPr>
              <w:widowControl/>
              <w:spacing w:line="360" w:lineRule="auto"/>
              <w:jc w:val="center"/>
              <w:rPr>
                <w:rFonts w:hint="eastAsia" w:ascii="仿宋_GB2312" w:hAnsi="仿宋" w:eastAsia="仿宋_GB2312" w:cs="Arial"/>
                <w:sz w:val="22"/>
                <w:szCs w:val="22"/>
                <w:vertAlign w:val="baseline"/>
              </w:rPr>
            </w:pPr>
            <w:r>
              <w:rPr>
                <w:rFonts w:hint="eastAsia" w:ascii="仿宋_GB2312" w:hAnsi="仿宋" w:eastAsia="仿宋_GB2312" w:cs="Arial"/>
                <w:sz w:val="22"/>
                <w:szCs w:val="22"/>
                <w:vertAlign w:val="baseline"/>
              </w:rPr>
              <w:t>2</w:t>
            </w:r>
          </w:p>
        </w:tc>
        <w:tc>
          <w:tcPr>
            <w:tcW w:w="4887" w:type="dxa"/>
            <w:tcBorders>
              <w:top w:val="nil"/>
              <w:left w:val="nil"/>
              <w:bottom w:val="single" w:color="auto" w:sz="4" w:space="0"/>
              <w:right w:val="single" w:color="auto" w:sz="4" w:space="0"/>
            </w:tcBorders>
            <w:vAlign w:val="center"/>
          </w:tcPr>
          <w:p w14:paraId="62EFF881">
            <w:pPr>
              <w:widowControl/>
              <w:spacing w:line="360" w:lineRule="auto"/>
              <w:jc w:val="left"/>
              <w:rPr>
                <w:rFonts w:hint="eastAsia" w:ascii="仿宋_GB2312" w:hAnsi="仿宋" w:eastAsia="仿宋_GB2312" w:cs="仿宋"/>
                <w:sz w:val="22"/>
                <w:szCs w:val="22"/>
                <w:vertAlign w:val="baseline"/>
              </w:rPr>
            </w:pPr>
            <w:r>
              <w:rPr>
                <w:rFonts w:hint="eastAsia" w:ascii="仿宋_GB2312" w:hAnsi="仿宋" w:eastAsia="仿宋_GB2312" w:cs="仿宋"/>
                <w:sz w:val="22"/>
                <w:szCs w:val="22"/>
                <w:vertAlign w:val="baseline"/>
              </w:rPr>
              <w:t>采样平台：</w:t>
            </w:r>
          </w:p>
          <w:p w14:paraId="1349C68E">
            <w:pPr>
              <w:widowControl/>
              <w:spacing w:line="360" w:lineRule="auto"/>
              <w:jc w:val="left"/>
              <w:rPr>
                <w:rFonts w:hint="eastAsia" w:ascii="仿宋_GB2312" w:hAnsi="仿宋" w:eastAsia="仿宋_GB2312" w:cs="仿宋"/>
                <w:sz w:val="22"/>
                <w:szCs w:val="22"/>
                <w:vertAlign w:val="baseline"/>
              </w:rPr>
            </w:pPr>
            <w:r>
              <w:rPr>
                <w:rFonts w:hint="eastAsia" w:ascii="仿宋_GB2312" w:hAnsi="仿宋" w:eastAsia="仿宋_GB2312" w:cs="仿宋"/>
                <w:sz w:val="22"/>
                <w:szCs w:val="22"/>
                <w:vertAlign w:val="baseline"/>
              </w:rPr>
              <w:t>材质：碳钢，做防腐处理，符合《固定源废气监测技术规范》（HJ/T397-2007）的技术标准。</w:t>
            </w:r>
          </w:p>
        </w:tc>
        <w:tc>
          <w:tcPr>
            <w:tcW w:w="1401" w:type="dxa"/>
            <w:tcBorders>
              <w:top w:val="nil"/>
              <w:left w:val="nil"/>
              <w:bottom w:val="single" w:color="auto" w:sz="4" w:space="0"/>
              <w:right w:val="single" w:color="auto" w:sz="4" w:space="0"/>
            </w:tcBorders>
            <w:vAlign w:val="center"/>
          </w:tcPr>
          <w:p w14:paraId="1052F4CB">
            <w:pPr>
              <w:widowControl/>
              <w:spacing w:line="360" w:lineRule="auto"/>
              <w:jc w:val="center"/>
              <w:rPr>
                <w:rFonts w:hint="eastAsia" w:ascii="仿宋_GB2312" w:hAnsi="仿宋" w:eastAsia="仿宋_GB2312" w:cs="Arial"/>
                <w:sz w:val="22"/>
                <w:szCs w:val="22"/>
                <w:vertAlign w:val="baseline"/>
              </w:rPr>
            </w:pPr>
            <w:r>
              <w:rPr>
                <w:rFonts w:hint="eastAsia" w:ascii="仿宋_GB2312" w:hAnsi="仿宋" w:eastAsia="仿宋_GB2312" w:cs="Arial"/>
                <w:sz w:val="22"/>
                <w:szCs w:val="22"/>
                <w:vertAlign w:val="baseline"/>
              </w:rPr>
              <w:t>套</w:t>
            </w:r>
          </w:p>
        </w:tc>
        <w:tc>
          <w:tcPr>
            <w:tcW w:w="1082" w:type="dxa"/>
            <w:tcBorders>
              <w:top w:val="nil"/>
              <w:left w:val="nil"/>
              <w:bottom w:val="single" w:color="auto" w:sz="4" w:space="0"/>
              <w:right w:val="single" w:color="auto" w:sz="4" w:space="0"/>
            </w:tcBorders>
            <w:noWrap/>
            <w:vAlign w:val="center"/>
          </w:tcPr>
          <w:p w14:paraId="5985B83E">
            <w:pPr>
              <w:widowControl/>
              <w:spacing w:line="360" w:lineRule="auto"/>
              <w:jc w:val="center"/>
              <w:rPr>
                <w:rFonts w:hint="eastAsia" w:ascii="仿宋_GB2312" w:hAnsi="仿宋" w:eastAsia="仿宋_GB2312" w:cs="Arial"/>
                <w:sz w:val="22"/>
                <w:szCs w:val="22"/>
                <w:vertAlign w:val="baseline"/>
              </w:rPr>
            </w:pPr>
            <w:r>
              <w:rPr>
                <w:rFonts w:hint="eastAsia" w:ascii="仿宋_GB2312" w:hAnsi="仿宋" w:eastAsia="仿宋_GB2312" w:cs="Arial"/>
                <w:sz w:val="22"/>
                <w:szCs w:val="22"/>
                <w:vertAlign w:val="baseline"/>
              </w:rPr>
              <w:t>1</w:t>
            </w:r>
          </w:p>
        </w:tc>
      </w:tr>
    </w:tbl>
    <w:p w14:paraId="655E098D">
      <w:pPr>
        <w:pStyle w:val="2"/>
        <w:spacing w:line="360" w:lineRule="auto"/>
        <w:ind w:left="0" w:leftChars="0" w:firstLine="0" w:firstLineChars="0"/>
        <w:rPr>
          <w:rFonts w:hint="eastAsia" w:ascii="仿宋_GB2312" w:hAnsi="仿宋" w:eastAsia="仿宋_GB2312" w:cs="仿宋"/>
          <w:b/>
          <w:sz w:val="24"/>
          <w:szCs w:val="24"/>
          <w:vertAlign w:val="baseline"/>
          <w:lang w:val="en-US" w:eastAsia="zh-CN"/>
        </w:rPr>
      </w:pPr>
    </w:p>
    <w:p w14:paraId="0E5EBE34">
      <w:pPr>
        <w:pStyle w:val="2"/>
        <w:spacing w:line="360" w:lineRule="auto"/>
        <w:ind w:left="0" w:leftChars="0" w:firstLine="0" w:firstLineChars="0"/>
        <w:rPr>
          <w:rFonts w:hint="eastAsia" w:ascii="仿宋_GB2312" w:hAnsi="仿宋" w:eastAsia="仿宋_GB2312" w:cs="仿宋"/>
          <w:b/>
          <w:sz w:val="24"/>
          <w:szCs w:val="24"/>
          <w:vertAlign w:val="baseline"/>
        </w:rPr>
      </w:pPr>
      <w:r>
        <w:rPr>
          <w:rFonts w:hint="eastAsia" w:ascii="仿宋_GB2312" w:hAnsi="仿宋" w:eastAsia="仿宋_GB2312" w:cs="仿宋"/>
          <w:b/>
          <w:sz w:val="24"/>
          <w:szCs w:val="24"/>
          <w:vertAlign w:val="baseline"/>
          <w:lang w:val="en-US" w:eastAsia="zh-CN"/>
        </w:rPr>
        <w:t xml:space="preserve">3.5 </w:t>
      </w:r>
      <w:r>
        <w:rPr>
          <w:rFonts w:hint="eastAsia" w:ascii="仿宋_GB2312" w:hAnsi="仿宋" w:eastAsia="仿宋_GB2312" w:cs="仿宋"/>
          <w:b/>
          <w:sz w:val="24"/>
          <w:szCs w:val="24"/>
          <w:vertAlign w:val="baseline"/>
        </w:rPr>
        <w:t>安全条款</w:t>
      </w:r>
    </w:p>
    <w:p w14:paraId="63B37827">
      <w:pPr>
        <w:spacing w:line="360" w:lineRule="auto"/>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lang w:val="en-US" w:eastAsia="zh-CN"/>
        </w:rPr>
        <w:t xml:space="preserve">3.5.1 </w:t>
      </w:r>
      <w:r>
        <w:rPr>
          <w:rFonts w:hint="eastAsia" w:ascii="仿宋_GB2312" w:hAnsi="仿宋" w:eastAsia="仿宋_GB2312" w:cs="仿宋"/>
          <w:sz w:val="24"/>
          <w:szCs w:val="24"/>
          <w:vertAlign w:val="baseline"/>
        </w:rPr>
        <w:t>院方的义务及责任</w:t>
      </w:r>
    </w:p>
    <w:p w14:paraId="771550E6">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出于安全的需要，院方不能授权并派遣非</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方人员，或未经</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方允许的员工以及其他人员修理、改动、更换、干扰设备的任何部件（紧急情况除外）。否则，对由此产生的损失由院方承担责任。</w:t>
      </w:r>
    </w:p>
    <w:p w14:paraId="07CD7481">
      <w:pPr>
        <w:spacing w:line="360" w:lineRule="auto"/>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lang w:val="en-US" w:eastAsia="zh-CN"/>
        </w:rPr>
        <w:t>3.5.2 成交</w:t>
      </w:r>
      <w:r>
        <w:rPr>
          <w:rFonts w:hint="eastAsia" w:ascii="仿宋_GB2312" w:hAnsi="仿宋" w:eastAsia="仿宋_GB2312" w:cs="仿宋"/>
          <w:sz w:val="24"/>
          <w:szCs w:val="24"/>
          <w:vertAlign w:val="baseline"/>
        </w:rPr>
        <w:t>方的义务及责任</w:t>
      </w:r>
    </w:p>
    <w:p w14:paraId="6FFB3088">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①</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方操作人员应严格按照相关安全规定进行操作，因违法操作规程造成的事故由中标方负责。</w:t>
      </w:r>
    </w:p>
    <w:p w14:paraId="1281D00A">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②</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方应为操作人员配备齐全的防护设备（或用品），及时更换即将过期防护设备（或用品），因防护不到位造成的设备或人身危害由</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方负责。</w:t>
      </w:r>
    </w:p>
    <w:p w14:paraId="1916C236">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③</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方在作业施工时，施工范围内应做到标识清晰明确，起到安全警示作用。</w:t>
      </w:r>
    </w:p>
    <w:p w14:paraId="19255C66">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④</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方应积极落实院方提出的合理化要求和建议，积极配合院方做好安全监管及专业配合工作。</w:t>
      </w:r>
    </w:p>
    <w:p w14:paraId="4956732C">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⑤要求或国家有关安全标准的规定发生改变时，按改变后的标准执行。</w:t>
      </w:r>
    </w:p>
    <w:p w14:paraId="148D28B7">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⑥</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方应对其委派的工作人员进行职业危害告知，为工作人员配备必要的防护用品，以上项目所产生的费用由</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方承担。</w:t>
      </w:r>
    </w:p>
    <w:p w14:paraId="065FC422">
      <w:pPr>
        <w:spacing w:line="360" w:lineRule="auto"/>
        <w:ind w:firstLine="480" w:firstLineChars="200"/>
        <w:rPr>
          <w:rFonts w:hint="eastAsia" w:ascii="仿宋_GB2312" w:hAnsi="仿宋" w:eastAsia="仿宋_GB2312" w:cs="仿宋"/>
          <w:sz w:val="24"/>
          <w:szCs w:val="24"/>
          <w:vertAlign w:val="baseline"/>
        </w:rPr>
      </w:pPr>
      <w:r>
        <w:rPr>
          <w:rFonts w:hint="eastAsia" w:ascii="仿宋_GB2312" w:hAnsi="仿宋" w:eastAsia="仿宋_GB2312" w:cs="仿宋"/>
          <w:sz w:val="24"/>
          <w:szCs w:val="24"/>
          <w:vertAlign w:val="baseline"/>
        </w:rPr>
        <w:t>⑦</w:t>
      </w:r>
      <w:r>
        <w:rPr>
          <w:rFonts w:hint="eastAsia" w:ascii="仿宋_GB2312" w:hAnsi="仿宋" w:eastAsia="仿宋_GB2312" w:cs="仿宋"/>
          <w:sz w:val="24"/>
          <w:szCs w:val="24"/>
          <w:vertAlign w:val="baseline"/>
          <w:lang w:val="en-US" w:eastAsia="zh-CN"/>
        </w:rPr>
        <w:t>成交</w:t>
      </w:r>
      <w:r>
        <w:rPr>
          <w:rFonts w:hint="eastAsia" w:ascii="仿宋_GB2312" w:hAnsi="仿宋" w:eastAsia="仿宋_GB2312" w:cs="仿宋"/>
          <w:sz w:val="24"/>
          <w:szCs w:val="24"/>
          <w:vertAlign w:val="baseline"/>
        </w:rPr>
        <w:t>方必须有完备的安全制度及预案，并落实到位，同时将相关资料交由医院备案，包括但不限于企业资质、人员执业资格认证、安全管理制度、安全操作规程、应急预案等。</w:t>
      </w:r>
    </w:p>
    <w:p w14:paraId="06522D0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9FD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C7211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B0F3DD">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2D3CD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C776B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AC1252A">
      <w:pPr>
        <w:pStyle w:val="2"/>
        <w:rPr>
          <w:rFonts w:hint="eastAsia" w:ascii="仿宋" w:hAnsi="仿宋" w:eastAsia="仿宋" w:cs="仿宋"/>
          <w:b/>
          <w:bCs w:val="0"/>
          <w:color w:val="auto"/>
          <w:sz w:val="22"/>
          <w:szCs w:val="22"/>
          <w:highlight w:val="none"/>
          <w:vertAlign w:val="baseline"/>
          <w:lang w:val="en-US" w:eastAsia="zh-CN"/>
        </w:rPr>
      </w:pPr>
    </w:p>
    <w:p w14:paraId="4A4FEE9F">
      <w:pPr>
        <w:pStyle w:val="3"/>
        <w:rPr>
          <w:rFonts w:hint="eastAsia" w:ascii="仿宋" w:hAnsi="仿宋" w:eastAsia="仿宋" w:cs="仿宋"/>
          <w:b/>
          <w:bCs w:val="0"/>
          <w:color w:val="auto"/>
          <w:sz w:val="22"/>
          <w:szCs w:val="22"/>
          <w:highlight w:val="none"/>
          <w:vertAlign w:val="baseline"/>
          <w:lang w:val="en-US" w:eastAsia="zh-CN"/>
        </w:rPr>
      </w:pPr>
    </w:p>
    <w:p w14:paraId="47A0020C">
      <w:pPr>
        <w:pStyle w:val="3"/>
        <w:rPr>
          <w:rFonts w:hint="eastAsia" w:ascii="仿宋" w:hAnsi="仿宋" w:eastAsia="仿宋" w:cs="仿宋"/>
          <w:b/>
          <w:bCs w:val="0"/>
          <w:color w:val="auto"/>
          <w:sz w:val="22"/>
          <w:szCs w:val="22"/>
          <w:highlight w:val="none"/>
          <w:vertAlign w:val="baseline"/>
          <w:lang w:val="en-US" w:eastAsia="zh-CN"/>
        </w:rPr>
      </w:pPr>
    </w:p>
    <w:p w14:paraId="07F2E90C">
      <w:pPr>
        <w:pStyle w:val="3"/>
        <w:rPr>
          <w:rFonts w:hint="eastAsia" w:ascii="仿宋" w:hAnsi="仿宋" w:eastAsia="仿宋" w:cs="仿宋"/>
          <w:b/>
          <w:bCs w:val="0"/>
          <w:color w:val="auto"/>
          <w:sz w:val="22"/>
          <w:szCs w:val="22"/>
          <w:highlight w:val="none"/>
          <w:vertAlign w:val="baseline"/>
          <w:lang w:val="en-US" w:eastAsia="zh-CN"/>
        </w:rPr>
      </w:pPr>
    </w:p>
    <w:p w14:paraId="50DEB849">
      <w:pPr>
        <w:pStyle w:val="3"/>
        <w:rPr>
          <w:rFonts w:hint="eastAsia" w:ascii="仿宋" w:hAnsi="仿宋" w:eastAsia="仿宋" w:cs="仿宋"/>
          <w:b/>
          <w:bCs w:val="0"/>
          <w:color w:val="auto"/>
          <w:sz w:val="22"/>
          <w:szCs w:val="22"/>
          <w:highlight w:val="none"/>
          <w:vertAlign w:val="baseline"/>
          <w:lang w:val="en-US" w:eastAsia="zh-CN"/>
        </w:rPr>
      </w:pPr>
    </w:p>
    <w:p w14:paraId="7D642E7D">
      <w:pPr>
        <w:pStyle w:val="3"/>
        <w:rPr>
          <w:rFonts w:hint="eastAsia" w:ascii="仿宋" w:hAnsi="仿宋" w:eastAsia="仿宋" w:cs="仿宋"/>
          <w:b/>
          <w:bCs w:val="0"/>
          <w:color w:val="auto"/>
          <w:sz w:val="22"/>
          <w:szCs w:val="22"/>
          <w:highlight w:val="none"/>
          <w:vertAlign w:val="baseline"/>
          <w:lang w:val="en-US" w:eastAsia="zh-CN"/>
        </w:rPr>
      </w:pPr>
    </w:p>
    <w:p w14:paraId="568CB164">
      <w:pPr>
        <w:pStyle w:val="3"/>
        <w:rPr>
          <w:rFonts w:hint="eastAsia" w:ascii="仿宋" w:hAnsi="仿宋" w:eastAsia="仿宋" w:cs="仿宋"/>
          <w:b/>
          <w:bCs w:val="0"/>
          <w:color w:val="auto"/>
          <w:sz w:val="22"/>
          <w:szCs w:val="22"/>
          <w:highlight w:val="none"/>
          <w:vertAlign w:val="baseline"/>
          <w:lang w:val="en-US" w:eastAsia="zh-CN"/>
        </w:rPr>
      </w:pPr>
    </w:p>
    <w:p w14:paraId="7DFBAA00">
      <w:pPr>
        <w:pStyle w:val="3"/>
        <w:rPr>
          <w:rFonts w:hint="eastAsia" w:ascii="仿宋" w:hAnsi="仿宋" w:eastAsia="仿宋" w:cs="仿宋"/>
          <w:b/>
          <w:bCs w:val="0"/>
          <w:color w:val="auto"/>
          <w:sz w:val="22"/>
          <w:szCs w:val="22"/>
          <w:highlight w:val="none"/>
          <w:vertAlign w:val="baseline"/>
          <w:lang w:val="en-US" w:eastAsia="zh-CN"/>
        </w:rPr>
      </w:pPr>
    </w:p>
    <w:p w14:paraId="3825864F">
      <w:pPr>
        <w:pStyle w:val="3"/>
        <w:rPr>
          <w:rFonts w:hint="eastAsia" w:ascii="仿宋" w:hAnsi="仿宋" w:eastAsia="仿宋" w:cs="仿宋"/>
          <w:b/>
          <w:bCs w:val="0"/>
          <w:color w:val="auto"/>
          <w:sz w:val="22"/>
          <w:szCs w:val="22"/>
          <w:highlight w:val="none"/>
          <w:vertAlign w:val="baseline"/>
          <w:lang w:val="en-US" w:eastAsia="zh-CN"/>
        </w:rPr>
      </w:pPr>
    </w:p>
    <w:p w14:paraId="498DEED3">
      <w:pPr>
        <w:pStyle w:val="3"/>
        <w:rPr>
          <w:rFonts w:hint="eastAsia" w:ascii="仿宋" w:hAnsi="仿宋" w:eastAsia="仿宋" w:cs="仿宋"/>
          <w:b/>
          <w:bCs w:val="0"/>
          <w:color w:val="auto"/>
          <w:sz w:val="22"/>
          <w:szCs w:val="22"/>
          <w:highlight w:val="none"/>
          <w:vertAlign w:val="baseline"/>
          <w:lang w:val="en-US" w:eastAsia="zh-CN"/>
        </w:rPr>
      </w:pPr>
    </w:p>
    <w:p w14:paraId="35AA2F35">
      <w:pPr>
        <w:pStyle w:val="3"/>
        <w:rPr>
          <w:rFonts w:hint="eastAsia" w:ascii="仿宋" w:hAnsi="仿宋" w:eastAsia="仿宋" w:cs="仿宋"/>
          <w:b/>
          <w:bCs w:val="0"/>
          <w:color w:val="auto"/>
          <w:sz w:val="22"/>
          <w:szCs w:val="22"/>
          <w:highlight w:val="none"/>
          <w:vertAlign w:val="baseline"/>
          <w:lang w:val="en-US" w:eastAsia="zh-CN"/>
        </w:rPr>
      </w:pPr>
    </w:p>
    <w:p w14:paraId="7D81F0A2">
      <w:pPr>
        <w:pStyle w:val="3"/>
        <w:rPr>
          <w:rFonts w:hint="eastAsia" w:ascii="仿宋" w:hAnsi="仿宋" w:eastAsia="仿宋" w:cs="仿宋"/>
          <w:b/>
          <w:bCs w:val="0"/>
          <w:color w:val="auto"/>
          <w:sz w:val="22"/>
          <w:szCs w:val="22"/>
          <w:highlight w:val="none"/>
          <w:vertAlign w:val="baseline"/>
          <w:lang w:val="en-US" w:eastAsia="zh-CN"/>
        </w:rPr>
      </w:pPr>
    </w:p>
    <w:p w14:paraId="54AD0310">
      <w:pPr>
        <w:pStyle w:val="3"/>
        <w:rPr>
          <w:rFonts w:hint="eastAsia" w:ascii="仿宋" w:hAnsi="仿宋" w:eastAsia="仿宋" w:cs="仿宋"/>
          <w:b/>
          <w:bCs w:val="0"/>
          <w:color w:val="auto"/>
          <w:sz w:val="22"/>
          <w:szCs w:val="22"/>
          <w:highlight w:val="none"/>
          <w:vertAlign w:val="baseline"/>
          <w:lang w:val="en-US" w:eastAsia="zh-CN"/>
        </w:rPr>
      </w:pPr>
    </w:p>
    <w:p w14:paraId="54B39E88">
      <w:pPr>
        <w:pStyle w:val="3"/>
        <w:rPr>
          <w:rFonts w:hint="eastAsia" w:ascii="仿宋" w:hAnsi="仿宋" w:eastAsia="仿宋" w:cs="仿宋"/>
          <w:b/>
          <w:bCs w:val="0"/>
          <w:color w:val="auto"/>
          <w:sz w:val="22"/>
          <w:szCs w:val="22"/>
          <w:highlight w:val="none"/>
          <w:vertAlign w:val="baseline"/>
          <w:lang w:val="en-US" w:eastAsia="zh-CN"/>
        </w:rPr>
      </w:pPr>
    </w:p>
    <w:p w14:paraId="080AC1CA">
      <w:pPr>
        <w:pStyle w:val="3"/>
        <w:rPr>
          <w:rFonts w:hint="eastAsia" w:ascii="仿宋" w:hAnsi="仿宋" w:eastAsia="仿宋" w:cs="仿宋"/>
          <w:b/>
          <w:bCs w:val="0"/>
          <w:color w:val="auto"/>
          <w:sz w:val="22"/>
          <w:szCs w:val="22"/>
          <w:highlight w:val="none"/>
          <w:vertAlign w:val="baseline"/>
          <w:lang w:val="en-US" w:eastAsia="zh-CN"/>
        </w:rPr>
      </w:pPr>
    </w:p>
    <w:p w14:paraId="265E71FB">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5F14ABD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7CC8E0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5"/>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5"/>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2"/>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5"/>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5"/>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5"/>
        <w:ind w:firstLine="482"/>
        <w:rPr>
          <w:rFonts w:hint="eastAsia" w:ascii="仿宋" w:hAnsi="仿宋" w:eastAsia="仿宋"/>
          <w:b/>
          <w:bCs/>
          <w:color w:val="auto"/>
          <w:kern w:val="1"/>
          <w:sz w:val="24"/>
          <w:szCs w:val="24"/>
          <w:highlight w:val="none"/>
        </w:rPr>
      </w:pPr>
    </w:p>
    <w:p w14:paraId="1C7BBDA7">
      <w:pPr>
        <w:pStyle w:val="15"/>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5"/>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5"/>
        <w:ind w:firstLine="480"/>
        <w:rPr>
          <w:rFonts w:hint="eastAsia" w:ascii="仿宋" w:hAnsi="仿宋" w:eastAsia="仿宋"/>
          <w:color w:val="auto"/>
          <w:kern w:val="1"/>
          <w:sz w:val="24"/>
          <w:szCs w:val="24"/>
          <w:highlight w:val="none"/>
        </w:rPr>
      </w:pPr>
    </w:p>
    <w:p w14:paraId="291AF4F2">
      <w:pPr>
        <w:pStyle w:val="15"/>
        <w:ind w:firstLine="480"/>
        <w:rPr>
          <w:rFonts w:hint="eastAsia" w:ascii="仿宋" w:hAnsi="仿宋" w:eastAsia="仿宋"/>
          <w:color w:val="auto"/>
          <w:kern w:val="1"/>
          <w:sz w:val="24"/>
          <w:szCs w:val="24"/>
          <w:highlight w:val="none"/>
        </w:rPr>
      </w:pPr>
    </w:p>
    <w:p w14:paraId="584407FD">
      <w:pPr>
        <w:pStyle w:val="15"/>
        <w:ind w:firstLine="480"/>
        <w:rPr>
          <w:rFonts w:hint="eastAsia" w:ascii="仿宋" w:hAnsi="仿宋" w:eastAsia="仿宋"/>
          <w:color w:val="auto"/>
          <w:kern w:val="1"/>
          <w:sz w:val="24"/>
          <w:szCs w:val="24"/>
          <w:highlight w:val="none"/>
        </w:rPr>
      </w:pPr>
    </w:p>
    <w:p w14:paraId="4F183070">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投标人名称(盖公章)：</w:t>
      </w:r>
    </w:p>
    <w:p w14:paraId="7EC00E97">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法定代表人（签字）：</w:t>
      </w:r>
    </w:p>
    <w:p w14:paraId="35466333">
      <w:pPr>
        <w:snapToGrid w:val="0"/>
        <w:spacing w:line="460" w:lineRule="exact"/>
        <w:jc w:val="right"/>
        <w:rPr>
          <w:rStyle w:val="16"/>
          <w:rFonts w:hint="default" w:cs="仿宋"/>
          <w:color w:val="auto"/>
          <w:sz w:val="24"/>
          <w:szCs w:val="24"/>
          <w:highlight w:val="none"/>
          <w:vertAlign w:val="baseline"/>
          <w:lang w:val="en-US" w:eastAsia="zh-CN" w:bidi="ar-SA"/>
        </w:rPr>
      </w:pPr>
      <w:r>
        <w:rPr>
          <w:rStyle w:val="16"/>
          <w:rFonts w:hint="default" w:cs="仿宋"/>
          <w:color w:val="auto"/>
          <w:sz w:val="24"/>
          <w:szCs w:val="24"/>
          <w:highlight w:val="none"/>
        </w:rPr>
        <w:t xml:space="preserve">                       </w:t>
      </w:r>
      <w:r>
        <w:rPr>
          <w:rStyle w:val="16"/>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6"/>
          <w:rFonts w:hint="default" w:cs="仿宋"/>
          <w:color w:val="auto"/>
          <w:sz w:val="24"/>
          <w:szCs w:val="24"/>
          <w:highlight w:val="none"/>
          <w:vertAlign w:val="baseline"/>
          <w:lang w:val="en-US" w:eastAsia="zh-CN" w:bidi="ar-SA"/>
        </w:rPr>
      </w:pPr>
    </w:p>
    <w:p w14:paraId="2245E805">
      <w:pPr>
        <w:snapToGrid w:val="0"/>
        <w:spacing w:line="460" w:lineRule="exact"/>
        <w:jc w:val="right"/>
        <w:rPr>
          <w:rStyle w:val="16"/>
          <w:rFonts w:hint="default" w:cs="仿宋"/>
          <w:color w:val="auto"/>
          <w:sz w:val="24"/>
          <w:szCs w:val="24"/>
          <w:highlight w:val="none"/>
          <w:vertAlign w:val="baseline"/>
          <w:lang w:val="en-US" w:eastAsia="zh-CN" w:bidi="ar-SA"/>
        </w:rPr>
      </w:pPr>
    </w:p>
    <w:p w14:paraId="75397FFF">
      <w:pPr>
        <w:snapToGrid w:val="0"/>
        <w:spacing w:line="460" w:lineRule="exact"/>
        <w:jc w:val="right"/>
        <w:rPr>
          <w:rStyle w:val="16"/>
          <w:rFonts w:hint="default" w:cs="仿宋"/>
          <w:color w:val="auto"/>
          <w:sz w:val="24"/>
          <w:szCs w:val="24"/>
          <w:highlight w:val="none"/>
          <w:vertAlign w:val="baseline"/>
          <w:lang w:val="en-US" w:eastAsia="zh-CN" w:bidi="ar-SA"/>
        </w:rPr>
      </w:pPr>
    </w:p>
    <w:p w14:paraId="1323D198">
      <w:pPr>
        <w:snapToGrid w:val="0"/>
        <w:spacing w:line="460" w:lineRule="exact"/>
        <w:jc w:val="left"/>
        <w:rPr>
          <w:rStyle w:val="16"/>
          <w:rFonts w:hint="eastAsia" w:cs="仿宋"/>
          <w:color w:val="auto"/>
          <w:sz w:val="28"/>
          <w:szCs w:val="28"/>
          <w:highlight w:val="none"/>
          <w:vertAlign w:val="baseline"/>
          <w:lang w:val="en-US" w:eastAsia="zh-CN" w:bidi="ar-SA"/>
        </w:rPr>
      </w:pPr>
      <w:r>
        <w:rPr>
          <w:rStyle w:val="16"/>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3、环保工程专业承包三级及以上资质材料及安全生产许可证</w:t>
      </w:r>
      <w:r>
        <w:rPr>
          <w:rFonts w:hint="eastAsia" w:ascii="仿宋" w:hAnsi="仿宋" w:eastAsia="仿宋" w:cs="宋体"/>
          <w:color w:val="auto"/>
          <w:kern w:val="0"/>
          <w:sz w:val="28"/>
          <w:szCs w:val="28"/>
          <w:highlight w:val="none"/>
          <w:vertAlign w:val="baseline"/>
          <w:lang w:eastAsia="zh-CN"/>
        </w:rPr>
        <w:t>；</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4、价格证明材料：近一年内的证明材料，如开具的增值税专用发票复印件（发票内容是响应服务在其他单位服务价格）等；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注：请按照以上页面进行材料整理，且须每一页加盖公章。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bookmarkStart w:id="11" w:name="_GoBack"/>
      <w:bookmarkEnd w:id="11"/>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5"/>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5"/>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8"/>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5"/>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8"/>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8"/>
      <w:framePr w:wrap="around" w:vAnchor="text" w:hAnchor="margin" w:xAlign="center" w:y="1"/>
      <w:rPr>
        <w:rStyle w:val="14"/>
      </w:rPr>
    </w:pPr>
    <w:r>
      <w:fldChar w:fldCharType="begin"/>
    </w:r>
    <w:r>
      <w:rPr>
        <w:rStyle w:val="14"/>
      </w:rPr>
      <w:instrText xml:space="preserve">PAGE  </w:instrText>
    </w:r>
    <w:r>
      <w:fldChar w:fldCharType="end"/>
    </w:r>
  </w:p>
  <w:p w14:paraId="4CA83E8B">
    <w:pPr>
      <w:pStyle w:val="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5"/>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7"/>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C315C9C"/>
    <w:rsid w:val="0F07199D"/>
    <w:rsid w:val="110C12EC"/>
    <w:rsid w:val="12040D82"/>
    <w:rsid w:val="121865DB"/>
    <w:rsid w:val="123A47A4"/>
    <w:rsid w:val="124D331C"/>
    <w:rsid w:val="12D55D1E"/>
    <w:rsid w:val="14694F50"/>
    <w:rsid w:val="14C76F80"/>
    <w:rsid w:val="15E12F09"/>
    <w:rsid w:val="160B61C2"/>
    <w:rsid w:val="18AA56E4"/>
    <w:rsid w:val="193E2DCB"/>
    <w:rsid w:val="198F2D53"/>
    <w:rsid w:val="1A66082C"/>
    <w:rsid w:val="1A9A51D3"/>
    <w:rsid w:val="1AFD138A"/>
    <w:rsid w:val="1CEF4A97"/>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080A88"/>
    <w:rsid w:val="3D475E43"/>
    <w:rsid w:val="3DC8013A"/>
    <w:rsid w:val="3E6158D5"/>
    <w:rsid w:val="41131A89"/>
    <w:rsid w:val="417E123A"/>
    <w:rsid w:val="44B53FC2"/>
    <w:rsid w:val="46A24A05"/>
    <w:rsid w:val="477D4822"/>
    <w:rsid w:val="489363E0"/>
    <w:rsid w:val="48AA548E"/>
    <w:rsid w:val="4973433F"/>
    <w:rsid w:val="49E45221"/>
    <w:rsid w:val="4A474F52"/>
    <w:rsid w:val="4CD3045E"/>
    <w:rsid w:val="4CD86AB8"/>
    <w:rsid w:val="4D84279B"/>
    <w:rsid w:val="4E056021"/>
    <w:rsid w:val="4E5E4D9B"/>
    <w:rsid w:val="4F3F325D"/>
    <w:rsid w:val="502668C8"/>
    <w:rsid w:val="51542485"/>
    <w:rsid w:val="52074D56"/>
    <w:rsid w:val="556E3867"/>
    <w:rsid w:val="55A97849"/>
    <w:rsid w:val="56F03878"/>
    <w:rsid w:val="57F50C15"/>
    <w:rsid w:val="5927777C"/>
    <w:rsid w:val="59396B30"/>
    <w:rsid w:val="59F618C3"/>
    <w:rsid w:val="5B910C25"/>
    <w:rsid w:val="5B975D90"/>
    <w:rsid w:val="5BD33A50"/>
    <w:rsid w:val="5C4F02C9"/>
    <w:rsid w:val="5DFE3466"/>
    <w:rsid w:val="5E8819C0"/>
    <w:rsid w:val="5F7B7E0C"/>
    <w:rsid w:val="5F9A5527"/>
    <w:rsid w:val="60B868FF"/>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5">
    <w:name w:val="heading 1"/>
    <w:basedOn w:val="6"/>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7">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sz w:val="21"/>
    </w:rPr>
  </w:style>
  <w:style w:type="paragraph" w:styleId="3">
    <w:name w:val="Body Text First Indent 2"/>
    <w:basedOn w:val="4"/>
    <w:semiHidden/>
    <w:unhideWhenUsed/>
    <w:qFormat/>
    <w:uiPriority w:val="99"/>
    <w:pPr>
      <w:ind w:firstLine="420" w:firstLineChars="200"/>
    </w:pPr>
  </w:style>
  <w:style w:type="paragraph" w:styleId="4">
    <w:name w:val="Body Text Indent"/>
    <w:basedOn w:val="1"/>
    <w:semiHidden/>
    <w:unhideWhenUsed/>
    <w:qFormat/>
    <w:uiPriority w:val="99"/>
    <w:pPr>
      <w:spacing w:after="120"/>
      <w:ind w:left="420" w:leftChars="200"/>
    </w:pPr>
  </w:style>
  <w:style w:type="paragraph" w:styleId="6">
    <w:name w:val="toa heading"/>
    <w:basedOn w:val="1"/>
    <w:next w:val="1"/>
    <w:qFormat/>
    <w:uiPriority w:val="0"/>
    <w:pPr>
      <w:spacing w:before="120"/>
    </w:pPr>
    <w:rPr>
      <w:rFonts w:ascii="Arial" w:hAnsi="Arial" w:cs="Arial"/>
      <w:sz w:val="24"/>
      <w:szCs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6">
    <w:name w:val="样式 仿宋"/>
    <w:qFormat/>
    <w:uiPriority w:val="0"/>
    <w:rPr>
      <w:rFonts w:hint="eastAsia" w:ascii="仿宋" w:hAnsi="仿宋" w:eastAsia="仿宋"/>
      <w:kern w:val="2"/>
    </w:rPr>
  </w:style>
  <w:style w:type="character" w:customStyle="1" w:styleId="17">
    <w:name w:val="font51"/>
    <w:basedOn w:val="13"/>
    <w:qFormat/>
    <w:uiPriority w:val="0"/>
    <w:rPr>
      <w:rFonts w:hint="eastAsia" w:ascii="黑体" w:hAnsi="宋体" w:eastAsia="黑体" w:cs="黑体"/>
      <w:color w:val="000000"/>
      <w:sz w:val="36"/>
      <w:szCs w:val="36"/>
      <w:u w:val="none"/>
    </w:rPr>
  </w:style>
  <w:style w:type="character" w:customStyle="1" w:styleId="18">
    <w:name w:val="font61"/>
    <w:basedOn w:val="13"/>
    <w:qFormat/>
    <w:uiPriority w:val="0"/>
    <w:rPr>
      <w:rFonts w:ascii="楷体" w:hAnsi="楷体" w:eastAsia="楷体" w:cs="楷体"/>
      <w:color w:val="000000"/>
      <w:sz w:val="28"/>
      <w:szCs w:val="28"/>
      <w:u w:val="none"/>
    </w:rPr>
  </w:style>
  <w:style w:type="character" w:customStyle="1" w:styleId="19">
    <w:name w:val="font41"/>
    <w:basedOn w:val="13"/>
    <w:qFormat/>
    <w:uiPriority w:val="0"/>
    <w:rPr>
      <w:rFonts w:hint="eastAsia" w:ascii="宋体" w:hAnsi="宋体" w:eastAsia="宋体" w:cs="宋体"/>
      <w:color w:val="000000"/>
      <w:sz w:val="24"/>
      <w:szCs w:val="24"/>
      <w:u w:val="none"/>
    </w:rPr>
  </w:style>
  <w:style w:type="character" w:customStyle="1" w:styleId="20">
    <w:name w:val="font31"/>
    <w:basedOn w:val="13"/>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1521</Words>
  <Characters>1792</Characters>
  <Lines>0</Lines>
  <Paragraphs>0</Paragraphs>
  <TotalTime>0</TotalTime>
  <ScaleCrop>false</ScaleCrop>
  <LinksUpToDate>false</LinksUpToDate>
  <CharactersWithSpaces>1849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2025-12-15T08:01:53Z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