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儿童营养包采购项目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3"/>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3"/>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青岛市妇女儿童医院儿童营养包采购项目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1、项目名称：青岛市妇女儿童医院儿童营养包采购项目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123</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FB5DF0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E2E21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1"/>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3"/>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儿童营养包采购项目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12"/>
        <w:tblpPr w:leftFromText="180" w:rightFromText="180" w:vertAnchor="text" w:tblpX="-269" w:tblpY="1"/>
        <w:tblOverlap w:val="never"/>
        <w:tblW w:w="9952"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952"/>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52"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儿童营养包1</w:t>
            </w:r>
          </w:p>
        </w:tc>
        <w:tc>
          <w:tcPr>
            <w:tcW w:w="3233" w:type="dxa"/>
            <w:vAlign w:val="center"/>
          </w:tcPr>
          <w:p w14:paraId="5683077D">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适用于0-5岁儿童；</w:t>
            </w:r>
          </w:p>
          <w:p w14:paraId="46366CAE">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富含铁锌多种维生素等生长发育所需微量元素，基础成分含量，每日份含量：</w:t>
            </w:r>
            <w:r>
              <w:rPr>
                <w:rFonts w:hint="eastAsia" w:ascii="仿宋" w:hAnsi="仿宋" w:eastAsia="仿宋" w:cs="仿宋"/>
                <w:b w:val="0"/>
                <w:bCs/>
                <w:color w:val="auto"/>
                <w:sz w:val="20"/>
                <w:szCs w:val="20"/>
                <w:highlight w:val="none"/>
                <w:vertAlign w:val="baseline"/>
                <w:lang w:val="en-US" w:eastAsia="zh-CN"/>
              </w:rPr>
              <w:tab/>
            </w:r>
          </w:p>
          <w:p w14:paraId="3F6D4FE9">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铁/mg不低于6</w:t>
            </w:r>
          </w:p>
          <w:p w14:paraId="505EAB25">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锌/mg不低于4</w:t>
            </w:r>
          </w:p>
          <w:p w14:paraId="0E56385D">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维生素D/μg</w:t>
            </w:r>
            <w:r>
              <w:rPr>
                <w:rFonts w:hint="eastAsia" w:ascii="仿宋" w:hAnsi="仿宋" w:eastAsia="仿宋" w:cs="仿宋"/>
                <w:b w:val="0"/>
                <w:bCs/>
                <w:color w:val="auto"/>
                <w:sz w:val="20"/>
                <w:szCs w:val="20"/>
                <w:highlight w:val="none"/>
                <w:vertAlign w:val="baseline"/>
                <w:lang w:val="en-US" w:eastAsia="zh-CN"/>
              </w:rPr>
              <w:tab/>
            </w:r>
            <w:r>
              <w:rPr>
                <w:rFonts w:hint="eastAsia" w:ascii="仿宋" w:hAnsi="仿宋" w:eastAsia="仿宋" w:cs="仿宋"/>
                <w:b w:val="0"/>
                <w:bCs/>
                <w:color w:val="auto"/>
                <w:sz w:val="20"/>
                <w:szCs w:val="20"/>
                <w:highlight w:val="none"/>
                <w:vertAlign w:val="baseline"/>
                <w:lang w:val="en-US" w:eastAsia="zh-CN"/>
              </w:rPr>
              <w:t>不低于5</w:t>
            </w:r>
          </w:p>
          <w:p w14:paraId="55B4C038">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维生素B1/mg不低于0.4</w:t>
            </w:r>
          </w:p>
          <w:p w14:paraId="39CBB393">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维生素B2/mg不低于0.4</w:t>
            </w:r>
          </w:p>
          <w:p w14:paraId="146AE28C">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维生素B6/mg不低于0.4</w:t>
            </w:r>
          </w:p>
          <w:p w14:paraId="06FC6425">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维生素B12/μg不低于0.5</w:t>
            </w:r>
          </w:p>
          <w:p w14:paraId="53D8AA6A">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叶酸/ug不低于80</w:t>
            </w:r>
          </w:p>
          <w:p w14:paraId="4580D689">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（符合基础要求并含有更多生长发育所需成分的产品优先）</w:t>
            </w:r>
          </w:p>
          <w:p w14:paraId="28CC568B">
            <w:pPr>
              <w:pStyle w:val="2"/>
              <w:ind w:left="0" w:leftChars="0" w:firstLine="0" w:firstLineChars="0"/>
              <w:rPr>
                <w:rFonts w:hint="default"/>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eastAsia" w:ascii="仿宋" w:hAnsi="仿宋" w:eastAsia="仿宋" w:cs="仿宋"/>
                <w:b/>
                <w:bCs w:val="0"/>
                <w:color w:val="auto"/>
                <w:kern w:val="2"/>
                <w:sz w:val="20"/>
                <w:szCs w:val="20"/>
                <w:highlight w:val="none"/>
                <w:vertAlign w:val="baseline"/>
                <w:lang w:val="en-US" w:eastAsia="zh-CN" w:bidi="ar-SA"/>
              </w:rPr>
              <w:t>符合相关国家生产及质量标准的要求：GB22570或GB24154或GB7101，提供证明材料。如是保健食品的须提供国家市场监督管理总局批准的保健食品证书或备案证</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10份</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52"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B9D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3" w:type="dxa"/>
            <w:vAlign w:val="center"/>
          </w:tcPr>
          <w:p w14:paraId="311B84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2</w:t>
            </w:r>
          </w:p>
        </w:tc>
        <w:tc>
          <w:tcPr>
            <w:tcW w:w="1497" w:type="dxa"/>
            <w:vAlign w:val="center"/>
          </w:tcPr>
          <w:p w14:paraId="565D6B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儿童营养包2</w:t>
            </w:r>
          </w:p>
        </w:tc>
        <w:tc>
          <w:tcPr>
            <w:tcW w:w="3233" w:type="dxa"/>
            <w:vAlign w:val="center"/>
          </w:tcPr>
          <w:p w14:paraId="21D65B52">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适用于6-10岁儿童；</w:t>
            </w:r>
          </w:p>
          <w:p w14:paraId="79DCD654">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富含铁锌B族多种维生素等生长发育所需微量元素，基础成分含量，每日份含量：</w:t>
            </w:r>
            <w:r>
              <w:rPr>
                <w:rFonts w:hint="eastAsia" w:ascii="仿宋" w:hAnsi="仿宋" w:eastAsia="仿宋" w:cs="仿宋"/>
                <w:b w:val="0"/>
                <w:bCs/>
                <w:color w:val="auto"/>
                <w:sz w:val="20"/>
                <w:szCs w:val="20"/>
                <w:highlight w:val="none"/>
                <w:vertAlign w:val="baseline"/>
                <w:lang w:val="en-US" w:eastAsia="zh-CN"/>
              </w:rPr>
              <w:tab/>
            </w:r>
          </w:p>
          <w:p w14:paraId="35AD50AA">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维生素D（μg）不低于5 </w:t>
            </w:r>
          </w:p>
          <w:p w14:paraId="6B55A360">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维生素B1（mg）不低于0.4</w:t>
            </w:r>
          </w:p>
          <w:p w14:paraId="7C714E82">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维生素B2（mg）不低于0.4</w:t>
            </w:r>
          </w:p>
          <w:p w14:paraId="017E5F1D">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维生素B6（mg）不低于0.4</w:t>
            </w:r>
          </w:p>
          <w:p w14:paraId="585E13AC">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维生素B12/μg不低于0.5</w:t>
            </w:r>
          </w:p>
          <w:p w14:paraId="583E079E">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叶酸（μg）</w:t>
            </w:r>
            <w:r>
              <w:rPr>
                <w:rFonts w:hint="eastAsia" w:ascii="仿宋" w:hAnsi="仿宋" w:eastAsia="仿宋" w:cs="仿宋"/>
                <w:b w:val="0"/>
                <w:bCs/>
                <w:color w:val="auto"/>
                <w:sz w:val="20"/>
                <w:szCs w:val="20"/>
                <w:highlight w:val="none"/>
                <w:vertAlign w:val="baseline"/>
                <w:lang w:val="en-US" w:eastAsia="zh-CN"/>
              </w:rPr>
              <w:tab/>
            </w:r>
            <w:r>
              <w:rPr>
                <w:rFonts w:hint="eastAsia" w:ascii="仿宋" w:hAnsi="仿宋" w:eastAsia="仿宋" w:cs="仿宋"/>
                <w:b w:val="0"/>
                <w:bCs/>
                <w:color w:val="auto"/>
                <w:sz w:val="20"/>
                <w:szCs w:val="20"/>
                <w:highlight w:val="none"/>
                <w:vertAlign w:val="baseline"/>
                <w:lang w:val="en-US" w:eastAsia="zh-CN"/>
              </w:rPr>
              <w:t xml:space="preserve"> 不低于100</w:t>
            </w:r>
          </w:p>
          <w:p w14:paraId="05A46105">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铁（mg）不低于5</w:t>
            </w:r>
          </w:p>
          <w:p w14:paraId="301C5A61">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锌（mg）不低于3</w:t>
            </w:r>
          </w:p>
          <w:p w14:paraId="206F18A5">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（符合基础要求并含有更多生长发育所需成分的产品优先）</w:t>
            </w:r>
          </w:p>
          <w:p w14:paraId="0EFD8522">
            <w:pPr>
              <w:pStyle w:val="2"/>
              <w:ind w:left="0" w:leftChars="0" w:firstLine="0" w:firstLineChars="0"/>
              <w:rPr>
                <w:rFonts w:hint="default"/>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eastAsia" w:ascii="仿宋" w:hAnsi="仿宋" w:eastAsia="仿宋" w:cs="仿宋"/>
                <w:b/>
                <w:bCs w:val="0"/>
                <w:color w:val="auto"/>
                <w:kern w:val="2"/>
                <w:sz w:val="20"/>
                <w:szCs w:val="20"/>
                <w:highlight w:val="none"/>
                <w:vertAlign w:val="baseline"/>
                <w:lang w:val="en-US" w:eastAsia="zh-CN" w:bidi="ar-SA"/>
              </w:rPr>
              <w:t>符合相关国家生产及质量标准的要求：GB22570或GB24154或GB7101，提供证明材料。如是保健食品的须提供国家市场监督管理总局批准的保健食品证书或备案证</w:t>
            </w:r>
          </w:p>
        </w:tc>
        <w:tc>
          <w:tcPr>
            <w:tcW w:w="934" w:type="dxa"/>
            <w:vAlign w:val="center"/>
          </w:tcPr>
          <w:p w14:paraId="5A656C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33" w:type="dxa"/>
            <w:vAlign w:val="center"/>
          </w:tcPr>
          <w:p w14:paraId="49C875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15份</w:t>
            </w:r>
          </w:p>
        </w:tc>
        <w:tc>
          <w:tcPr>
            <w:tcW w:w="900" w:type="dxa"/>
            <w:vAlign w:val="center"/>
          </w:tcPr>
          <w:p w14:paraId="6F8F1C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18000</w:t>
            </w:r>
          </w:p>
        </w:tc>
        <w:tc>
          <w:tcPr>
            <w:tcW w:w="950" w:type="dxa"/>
            <w:vAlign w:val="center"/>
          </w:tcPr>
          <w:p w14:paraId="4681D0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52" w:type="dxa"/>
            <w:vAlign w:val="center"/>
          </w:tcPr>
          <w:p w14:paraId="5C77E7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4DAA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0E14F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97" w:type="dxa"/>
            <w:vAlign w:val="center"/>
          </w:tcPr>
          <w:p w14:paraId="322D82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儿童营养包3</w:t>
            </w:r>
          </w:p>
        </w:tc>
        <w:tc>
          <w:tcPr>
            <w:tcW w:w="3233" w:type="dxa"/>
            <w:vAlign w:val="center"/>
          </w:tcPr>
          <w:p w14:paraId="5DF5426B">
            <w:pPr>
              <w:numPr>
                <w:ilvl w:val="0"/>
                <w:numId w:val="6"/>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适用于11-18岁儿童及青少年；</w:t>
            </w:r>
          </w:p>
          <w:p w14:paraId="67EB8E12">
            <w:pPr>
              <w:numPr>
                <w:ilvl w:val="0"/>
                <w:numId w:val="6"/>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富含铁锌B族多种维生素等生长发育所需微量元素，基础成分含量，每日份含量：</w:t>
            </w:r>
            <w:r>
              <w:rPr>
                <w:rFonts w:hint="eastAsia" w:ascii="仿宋" w:hAnsi="仿宋" w:eastAsia="仿宋" w:cs="仿宋"/>
                <w:b w:val="0"/>
                <w:bCs/>
                <w:color w:val="auto"/>
                <w:sz w:val="20"/>
                <w:szCs w:val="20"/>
                <w:highlight w:val="none"/>
                <w:vertAlign w:val="baseline"/>
                <w:lang w:val="en-US" w:eastAsia="zh-CN"/>
              </w:rPr>
              <w:tab/>
            </w:r>
          </w:p>
          <w:p w14:paraId="48EABC38">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维生素D（μg）不低于4</w:t>
            </w:r>
          </w:p>
          <w:p w14:paraId="6536F69B">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维生素B1（mg）不低于0.5</w:t>
            </w:r>
          </w:p>
          <w:p w14:paraId="55A5029A">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维生素B2（mg）不低于0.5</w:t>
            </w:r>
          </w:p>
          <w:p w14:paraId="59356035">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维生素B6（mg）不低于0.5</w:t>
            </w:r>
          </w:p>
          <w:p w14:paraId="22CA6C1A">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维生素B12/μg不低于0.5</w:t>
            </w:r>
          </w:p>
          <w:p w14:paraId="5045AFD1">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叶酸（μg）不低于100</w:t>
            </w:r>
          </w:p>
          <w:p w14:paraId="1635B57F">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铁（mg）不低于6</w:t>
            </w:r>
          </w:p>
          <w:p w14:paraId="31545390">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锌（mg）不低于4</w:t>
            </w:r>
          </w:p>
          <w:p w14:paraId="7BA6958F">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（符合基础要求并含有更多生长发育所需成分的产品优先）</w:t>
            </w:r>
          </w:p>
          <w:p w14:paraId="3EA61842">
            <w:pPr>
              <w:pStyle w:val="2"/>
              <w:ind w:left="0" w:leftChars="0" w:firstLine="0" w:firstLineChars="0"/>
              <w:rPr>
                <w:rFonts w:hint="default"/>
                <w:lang w:val="en-US" w:eastAsia="zh-CN"/>
              </w:rPr>
            </w:pPr>
            <w:r>
              <w:rPr>
                <w:rFonts w:hint="eastAsia" w:ascii="仿宋" w:hAnsi="仿宋" w:eastAsia="仿宋" w:cs="仿宋"/>
                <w:b w:val="0"/>
                <w:bCs/>
                <w:color w:val="auto"/>
                <w:sz w:val="20"/>
                <w:szCs w:val="20"/>
                <w:highlight w:val="none"/>
                <w:vertAlign w:val="baseline"/>
                <w:lang w:val="en-US" w:eastAsia="zh-CN"/>
              </w:rPr>
              <w:t>3、</w:t>
            </w:r>
            <w:r>
              <w:rPr>
                <w:rFonts w:hint="eastAsia" w:ascii="仿宋" w:hAnsi="仿宋" w:eastAsia="仿宋" w:cs="仿宋"/>
                <w:b/>
                <w:bCs w:val="0"/>
                <w:color w:val="auto"/>
                <w:kern w:val="2"/>
                <w:sz w:val="20"/>
                <w:szCs w:val="20"/>
                <w:highlight w:val="none"/>
                <w:vertAlign w:val="baseline"/>
                <w:lang w:val="en-US" w:eastAsia="zh-CN" w:bidi="ar-SA"/>
              </w:rPr>
              <w:t>符合相关国家生产及质量标准的要求：GB22570或GB24154或GB7101，提供证明材料。如是保健食品的须提供国家市场监督管理总局批准的保健食品证书或备案证</w:t>
            </w:r>
          </w:p>
        </w:tc>
        <w:tc>
          <w:tcPr>
            <w:tcW w:w="934" w:type="dxa"/>
            <w:vAlign w:val="center"/>
          </w:tcPr>
          <w:p w14:paraId="2A0B30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w:t>
            </w:r>
          </w:p>
        </w:tc>
        <w:tc>
          <w:tcPr>
            <w:tcW w:w="833" w:type="dxa"/>
            <w:vAlign w:val="center"/>
          </w:tcPr>
          <w:p w14:paraId="04443F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10份</w:t>
            </w:r>
          </w:p>
        </w:tc>
        <w:tc>
          <w:tcPr>
            <w:tcW w:w="900" w:type="dxa"/>
            <w:vAlign w:val="center"/>
          </w:tcPr>
          <w:p w14:paraId="78B569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950" w:type="dxa"/>
            <w:vAlign w:val="center"/>
          </w:tcPr>
          <w:p w14:paraId="1A7C37F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52" w:type="dxa"/>
            <w:vAlign w:val="center"/>
          </w:tcPr>
          <w:p w14:paraId="5BBDEB0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bl>
    <w:p w14:paraId="66734E6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8F8E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89B6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844E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5963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D855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5220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D30132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07F1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85FB8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6853F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4E2D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B13824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CA406B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78AF071">
      <w:pPr>
        <w:pStyle w:val="2"/>
        <w:rPr>
          <w:rFonts w:hint="eastAsia" w:ascii="仿宋" w:hAnsi="仿宋" w:eastAsia="仿宋" w:cs="仿宋"/>
          <w:b/>
          <w:bCs w:val="0"/>
          <w:color w:val="auto"/>
          <w:sz w:val="20"/>
          <w:szCs w:val="20"/>
          <w:highlight w:val="none"/>
          <w:vertAlign w:val="baseline"/>
          <w:lang w:val="en-US" w:eastAsia="zh-CN"/>
        </w:rPr>
      </w:pPr>
    </w:p>
    <w:p w14:paraId="0EC4DC0A">
      <w:pPr>
        <w:pStyle w:val="2"/>
        <w:rPr>
          <w:rFonts w:hint="eastAsia" w:ascii="仿宋" w:hAnsi="仿宋" w:eastAsia="仿宋" w:cs="仿宋"/>
          <w:b/>
          <w:bCs w:val="0"/>
          <w:color w:val="auto"/>
          <w:sz w:val="20"/>
          <w:szCs w:val="20"/>
          <w:highlight w:val="none"/>
          <w:vertAlign w:val="baseline"/>
          <w:lang w:val="en-US" w:eastAsia="zh-CN"/>
        </w:rPr>
      </w:pPr>
    </w:p>
    <w:p w14:paraId="1A1BE2AC">
      <w:pPr>
        <w:pStyle w:val="2"/>
        <w:rPr>
          <w:rFonts w:hint="eastAsia" w:ascii="仿宋" w:hAnsi="仿宋" w:eastAsia="仿宋" w:cs="仿宋"/>
          <w:b/>
          <w:bCs w:val="0"/>
          <w:color w:val="auto"/>
          <w:sz w:val="20"/>
          <w:szCs w:val="20"/>
          <w:highlight w:val="none"/>
          <w:vertAlign w:val="baseline"/>
          <w:lang w:val="en-US" w:eastAsia="zh-CN"/>
        </w:rPr>
      </w:pPr>
    </w:p>
    <w:p w14:paraId="24FD35F8">
      <w:pPr>
        <w:pStyle w:val="2"/>
        <w:rPr>
          <w:rFonts w:hint="eastAsia" w:ascii="仿宋" w:hAnsi="仿宋" w:eastAsia="仿宋" w:cs="仿宋"/>
          <w:b/>
          <w:bCs w:val="0"/>
          <w:color w:val="auto"/>
          <w:sz w:val="20"/>
          <w:szCs w:val="20"/>
          <w:highlight w:val="none"/>
          <w:vertAlign w:val="baseline"/>
          <w:lang w:val="en-US" w:eastAsia="zh-CN"/>
        </w:rPr>
      </w:pPr>
    </w:p>
    <w:p w14:paraId="4213C5BE">
      <w:pPr>
        <w:pStyle w:val="2"/>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1385FB84">
      <w:pPr>
        <w:pStyle w:val="3"/>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3"/>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2"/>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5"/>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5"/>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5"/>
        <w:ind w:firstLine="482"/>
        <w:rPr>
          <w:rFonts w:hint="eastAsia" w:ascii="仿宋" w:hAnsi="仿宋" w:eastAsia="仿宋"/>
          <w:b/>
          <w:bCs/>
          <w:color w:val="auto"/>
          <w:kern w:val="1"/>
          <w:sz w:val="24"/>
          <w:szCs w:val="24"/>
          <w:highlight w:val="none"/>
        </w:rPr>
      </w:pPr>
    </w:p>
    <w:p w14:paraId="1C7BBDA7">
      <w:pPr>
        <w:pStyle w:val="15"/>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5"/>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5"/>
        <w:ind w:firstLine="480"/>
        <w:rPr>
          <w:rFonts w:hint="eastAsia" w:ascii="仿宋" w:hAnsi="仿宋" w:eastAsia="仿宋"/>
          <w:color w:val="auto"/>
          <w:kern w:val="1"/>
          <w:sz w:val="24"/>
          <w:szCs w:val="24"/>
          <w:highlight w:val="none"/>
        </w:rPr>
      </w:pPr>
    </w:p>
    <w:p w14:paraId="291AF4F2">
      <w:pPr>
        <w:pStyle w:val="15"/>
        <w:ind w:firstLine="480"/>
        <w:rPr>
          <w:rFonts w:hint="eastAsia" w:ascii="仿宋" w:hAnsi="仿宋" w:eastAsia="仿宋"/>
          <w:color w:val="auto"/>
          <w:kern w:val="1"/>
          <w:sz w:val="24"/>
          <w:szCs w:val="24"/>
          <w:highlight w:val="none"/>
        </w:rPr>
      </w:pPr>
    </w:p>
    <w:p w14:paraId="584407FD">
      <w:pPr>
        <w:pStyle w:val="15"/>
        <w:ind w:firstLine="480"/>
        <w:rPr>
          <w:rFonts w:hint="eastAsia" w:ascii="仿宋" w:hAnsi="仿宋" w:eastAsia="仿宋"/>
          <w:color w:val="auto"/>
          <w:kern w:val="1"/>
          <w:sz w:val="24"/>
          <w:szCs w:val="24"/>
          <w:highlight w:val="none"/>
        </w:rPr>
      </w:pPr>
    </w:p>
    <w:p w14:paraId="4F183070">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投标人名称(盖公章)：</w:t>
      </w:r>
    </w:p>
    <w:p w14:paraId="7EC00E97">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法定代表人（签字）：</w:t>
      </w:r>
    </w:p>
    <w:p w14:paraId="35466333">
      <w:pPr>
        <w:snapToGrid w:val="0"/>
        <w:spacing w:line="460" w:lineRule="exact"/>
        <w:jc w:val="right"/>
        <w:rPr>
          <w:rStyle w:val="16"/>
          <w:rFonts w:hint="default" w:cs="仿宋"/>
          <w:color w:val="auto"/>
          <w:sz w:val="24"/>
          <w:szCs w:val="24"/>
          <w:highlight w:val="none"/>
          <w:vertAlign w:val="baseline"/>
          <w:lang w:val="en-US" w:eastAsia="zh-CN" w:bidi="ar-SA"/>
        </w:rPr>
      </w:pPr>
      <w:r>
        <w:rPr>
          <w:rStyle w:val="16"/>
          <w:rFonts w:hint="default" w:cs="仿宋"/>
          <w:color w:val="auto"/>
          <w:sz w:val="24"/>
          <w:szCs w:val="24"/>
          <w:highlight w:val="none"/>
        </w:rPr>
        <w:t xml:space="preserve">                       </w:t>
      </w:r>
      <w:r>
        <w:rPr>
          <w:rStyle w:val="16"/>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6"/>
          <w:rFonts w:hint="default" w:cs="仿宋"/>
          <w:color w:val="auto"/>
          <w:sz w:val="24"/>
          <w:szCs w:val="24"/>
          <w:highlight w:val="none"/>
          <w:vertAlign w:val="baseline"/>
          <w:lang w:val="en-US" w:eastAsia="zh-CN" w:bidi="ar-SA"/>
        </w:rPr>
      </w:pPr>
    </w:p>
    <w:p w14:paraId="2245E805">
      <w:pPr>
        <w:snapToGrid w:val="0"/>
        <w:spacing w:line="460" w:lineRule="exact"/>
        <w:jc w:val="right"/>
        <w:rPr>
          <w:rStyle w:val="16"/>
          <w:rFonts w:hint="default" w:cs="仿宋"/>
          <w:color w:val="auto"/>
          <w:sz w:val="24"/>
          <w:szCs w:val="24"/>
          <w:highlight w:val="none"/>
          <w:vertAlign w:val="baseline"/>
          <w:lang w:val="en-US" w:eastAsia="zh-CN" w:bidi="ar-SA"/>
        </w:rPr>
      </w:pPr>
    </w:p>
    <w:p w14:paraId="75397FFF">
      <w:pPr>
        <w:snapToGrid w:val="0"/>
        <w:spacing w:line="460" w:lineRule="exact"/>
        <w:jc w:val="right"/>
        <w:rPr>
          <w:rStyle w:val="16"/>
          <w:rFonts w:hint="default" w:cs="仿宋"/>
          <w:color w:val="auto"/>
          <w:sz w:val="24"/>
          <w:szCs w:val="24"/>
          <w:highlight w:val="none"/>
          <w:vertAlign w:val="baseline"/>
          <w:lang w:val="en-US" w:eastAsia="zh-CN" w:bidi="ar-SA"/>
        </w:rPr>
      </w:pPr>
    </w:p>
    <w:p w14:paraId="1323D198">
      <w:pPr>
        <w:snapToGrid w:val="0"/>
        <w:spacing w:line="460" w:lineRule="exact"/>
        <w:jc w:val="left"/>
        <w:rPr>
          <w:rStyle w:val="16"/>
          <w:rFonts w:hint="eastAsia" w:cs="仿宋"/>
          <w:color w:val="auto"/>
          <w:sz w:val="28"/>
          <w:szCs w:val="28"/>
          <w:highlight w:val="none"/>
          <w:vertAlign w:val="baseline"/>
          <w:lang w:val="en-US" w:eastAsia="zh-CN" w:bidi="ar-SA"/>
        </w:rPr>
      </w:pPr>
      <w:r>
        <w:rPr>
          <w:rStyle w:val="16"/>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6"/>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3"/>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3"/>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67E968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8"/>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5"/>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8"/>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8"/>
      <w:framePr w:wrap="around" w:vAnchor="text" w:hAnchor="margin" w:xAlign="center" w:y="1"/>
      <w:rPr>
        <w:rStyle w:val="14"/>
      </w:rPr>
    </w:pPr>
    <w:r>
      <w:fldChar w:fldCharType="begin"/>
    </w:r>
    <w:r>
      <w:rPr>
        <w:rStyle w:val="14"/>
      </w:rPr>
      <w:instrText xml:space="preserve">PAGE  </w:instrText>
    </w:r>
    <w:r>
      <w:fldChar w:fldCharType="end"/>
    </w:r>
  </w:p>
  <w:p w14:paraId="4CA83E8B">
    <w:pPr>
      <w:pStyle w:val="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5"/>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B2BF7"/>
    <w:multiLevelType w:val="singleLevel"/>
    <w:tmpl w:val="8C2B2BF7"/>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FD8356C0"/>
    <w:multiLevelType w:val="singleLevel"/>
    <w:tmpl w:val="FD8356C0"/>
    <w:lvl w:ilvl="0" w:tentative="0">
      <w:start w:val="1"/>
      <w:numFmt w:val="decimal"/>
      <w:suff w:val="nothing"/>
      <w:lvlText w:val="%1、"/>
      <w:lvlJc w:val="left"/>
    </w:lvl>
  </w:abstractNum>
  <w:abstractNum w:abstractNumId="3">
    <w:nsid w:val="2148F6BD"/>
    <w:multiLevelType w:val="singleLevel"/>
    <w:tmpl w:val="2148F6BD"/>
    <w:lvl w:ilvl="0" w:tentative="0">
      <w:start w:val="1"/>
      <w:numFmt w:val="decimal"/>
      <w:suff w:val="nothing"/>
      <w:lvlText w:val="%1、"/>
      <w:lvlJc w:val="left"/>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7622798B"/>
    <w:multiLevelType w:val="singleLevel"/>
    <w:tmpl w:val="7622798B"/>
    <w:lvl w:ilvl="0" w:tentative="0">
      <w:start w:val="1"/>
      <w:numFmt w:val="decimal"/>
      <w:suff w:val="nothing"/>
      <w:lvlText w:val="%1、"/>
      <w:lvlJc w:val="left"/>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5DD5114"/>
    <w:rsid w:val="0715148C"/>
    <w:rsid w:val="07D97B6D"/>
    <w:rsid w:val="082F2A70"/>
    <w:rsid w:val="08BD6586"/>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8285501"/>
    <w:rsid w:val="193E2DCB"/>
    <w:rsid w:val="198F2D53"/>
    <w:rsid w:val="1A66082C"/>
    <w:rsid w:val="1A9A51D3"/>
    <w:rsid w:val="1AFD138A"/>
    <w:rsid w:val="1C6341E6"/>
    <w:rsid w:val="1C861D7A"/>
    <w:rsid w:val="1D2C5AC6"/>
    <w:rsid w:val="1D8E36CE"/>
    <w:rsid w:val="1EE838F2"/>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9B6DED"/>
    <w:rsid w:val="35BB5A78"/>
    <w:rsid w:val="3627310D"/>
    <w:rsid w:val="36385C56"/>
    <w:rsid w:val="36C721FA"/>
    <w:rsid w:val="36D371B1"/>
    <w:rsid w:val="37BC1633"/>
    <w:rsid w:val="37DD7A85"/>
    <w:rsid w:val="382A5002"/>
    <w:rsid w:val="387E2B20"/>
    <w:rsid w:val="38FC00EF"/>
    <w:rsid w:val="39FC3049"/>
    <w:rsid w:val="3AC0143A"/>
    <w:rsid w:val="3AE076E5"/>
    <w:rsid w:val="3B0C643A"/>
    <w:rsid w:val="3B4E3ED9"/>
    <w:rsid w:val="3B691AD2"/>
    <w:rsid w:val="3C2F2810"/>
    <w:rsid w:val="3C5A27F2"/>
    <w:rsid w:val="3CA737D7"/>
    <w:rsid w:val="3D475E43"/>
    <w:rsid w:val="3DC8013A"/>
    <w:rsid w:val="3E6158D5"/>
    <w:rsid w:val="417E123A"/>
    <w:rsid w:val="4391317D"/>
    <w:rsid w:val="43F62371"/>
    <w:rsid w:val="444625FD"/>
    <w:rsid w:val="44B53FC2"/>
    <w:rsid w:val="46A24A05"/>
    <w:rsid w:val="477D4822"/>
    <w:rsid w:val="4803505C"/>
    <w:rsid w:val="48AA548E"/>
    <w:rsid w:val="4973433F"/>
    <w:rsid w:val="49E45221"/>
    <w:rsid w:val="4B865D88"/>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6D0541"/>
    <w:rsid w:val="65E671EA"/>
    <w:rsid w:val="68DD679C"/>
    <w:rsid w:val="68F10B4B"/>
    <w:rsid w:val="69004F74"/>
    <w:rsid w:val="6A617C95"/>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6D5ECB"/>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EF667A6"/>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3">
    <w:name w:val="heading 1"/>
    <w:basedOn w:val="4"/>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rPr>
      <w:rFonts w:ascii="Times New Roman" w:hAnsi="Times New Roman" w:eastAsia="宋体" w:cs="Times New Roman"/>
    </w:rPr>
  </w:style>
  <w:style w:type="paragraph" w:styleId="4">
    <w:name w:val="toa heading"/>
    <w:basedOn w:val="1"/>
    <w:next w:val="1"/>
    <w:qFormat/>
    <w:uiPriority w:val="0"/>
    <w:pPr>
      <w:spacing w:before="120"/>
    </w:pPr>
    <w:rPr>
      <w:rFonts w:ascii="Arial" w:hAnsi="Arial" w:cs="Arial"/>
      <w:sz w:val="24"/>
      <w:szCs w:val="24"/>
    </w:rPr>
  </w:style>
  <w:style w:type="paragraph" w:styleId="6">
    <w:name w:val="Body Text Indent"/>
    <w:basedOn w:val="1"/>
    <w:next w:val="7"/>
    <w:uiPriority w:val="0"/>
    <w:pPr>
      <w:spacing w:after="120"/>
      <w:ind w:left="420" w:leftChars="200"/>
    </w:pPr>
    <w:rPr>
      <w:rFonts w:ascii="Times New Roman" w:hAnsi="Times New Roman" w:eastAsia="宋体" w:cs="Times New Roman"/>
    </w:rPr>
  </w:style>
  <w:style w:type="paragraph" w:styleId="7">
    <w:name w:val="envelope return"/>
    <w:basedOn w:val="1"/>
    <w:uiPriority w:val="0"/>
    <w:pPr>
      <w:snapToGrid w:val="0"/>
    </w:pPr>
    <w:rPr>
      <w:rFonts w:ascii="Arial" w:hAnsi="Arial" w:eastAsia="宋体" w:cs="Times New Roma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6">
    <w:name w:val="样式 仿宋"/>
    <w:qFormat/>
    <w:uiPriority w:val="0"/>
    <w:rPr>
      <w:rFonts w:hint="eastAsia" w:ascii="仿宋" w:hAnsi="仿宋" w:eastAsia="仿宋"/>
      <w:kern w:val="2"/>
    </w:rPr>
  </w:style>
  <w:style w:type="character" w:customStyle="1" w:styleId="17">
    <w:name w:val="font51"/>
    <w:basedOn w:val="13"/>
    <w:qFormat/>
    <w:uiPriority w:val="0"/>
    <w:rPr>
      <w:rFonts w:hint="eastAsia" w:ascii="黑体" w:hAnsi="宋体" w:eastAsia="黑体" w:cs="黑体"/>
      <w:color w:val="000000"/>
      <w:sz w:val="36"/>
      <w:szCs w:val="36"/>
      <w:u w:val="none"/>
    </w:rPr>
  </w:style>
  <w:style w:type="character" w:customStyle="1" w:styleId="18">
    <w:name w:val="font61"/>
    <w:basedOn w:val="13"/>
    <w:qFormat/>
    <w:uiPriority w:val="0"/>
    <w:rPr>
      <w:rFonts w:ascii="楷体" w:hAnsi="楷体" w:eastAsia="楷体" w:cs="楷体"/>
      <w:color w:val="000000"/>
      <w:sz w:val="28"/>
      <w:szCs w:val="28"/>
      <w:u w:val="none"/>
    </w:rPr>
  </w:style>
  <w:style w:type="character" w:customStyle="1" w:styleId="19">
    <w:name w:val="font41"/>
    <w:basedOn w:val="13"/>
    <w:qFormat/>
    <w:uiPriority w:val="0"/>
    <w:rPr>
      <w:rFonts w:hint="eastAsia" w:ascii="宋体" w:hAnsi="宋体" w:eastAsia="宋体" w:cs="宋体"/>
      <w:color w:val="000000"/>
      <w:sz w:val="24"/>
      <w:szCs w:val="24"/>
      <w:u w:val="none"/>
    </w:rPr>
  </w:style>
  <w:style w:type="character" w:customStyle="1" w:styleId="20">
    <w:name w:val="font31"/>
    <w:basedOn w:val="13"/>
    <w:qFormat/>
    <w:uiPriority w:val="0"/>
    <w:rPr>
      <w:rFonts w:ascii="宋体" w:hAnsi="宋体" w:eastAsia="宋体" w:cs="宋体"/>
      <w:color w:val="000000"/>
      <w:sz w:val="21"/>
      <w:szCs w:val="21"/>
      <w:u w:val="none"/>
    </w:rPr>
  </w:style>
  <w:style w:type="character" w:customStyle="1" w:styleId="21">
    <w:name w:val="font11"/>
    <w:basedOn w:val="13"/>
    <w:qFormat/>
    <w:uiPriority w:val="0"/>
    <w:rPr>
      <w:rFonts w:hint="default" w:ascii="Arial" w:hAnsi="Arial" w:cs="Arial"/>
      <w:color w:val="000000"/>
      <w:sz w:val="24"/>
      <w:szCs w:val="24"/>
      <w:u w:val="none"/>
    </w:rPr>
  </w:style>
  <w:style w:type="character" w:customStyle="1" w:styleId="22">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2568</Words>
  <Characters>2899</Characters>
  <Lines>0</Lines>
  <Paragraphs>0</Paragraphs>
  <TotalTime>2</TotalTime>
  <ScaleCrop>false</ScaleCrop>
  <LinksUpToDate>false</LinksUpToDate>
  <CharactersWithSpaces>3013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2025-09-24T02:51:12Z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