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default" w:ascii="黑体" w:eastAsia="黑体"/>
          <w:color w:val="auto"/>
          <w:sz w:val="32"/>
          <w:highlight w:val="none"/>
          <w:lang w:val="en-US"/>
        </w:rPr>
      </w:pPr>
      <w:r>
        <w:rPr>
          <w:rFonts w:hint="eastAsia" w:ascii="黑体" w:eastAsia="黑体"/>
          <w:b/>
          <w:color w:val="auto"/>
          <w:sz w:val="52"/>
          <w:szCs w:val="52"/>
          <w:highlight w:val="none"/>
          <w:vertAlign w:val="baseline"/>
          <w:lang w:val="en-US" w:eastAsia="zh-CN"/>
        </w:rPr>
        <w:t>投影仪、扫描仪、叫号显示屏、台式计算机供应商遴选</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遴选项目</w:t>
      </w:r>
      <w:r>
        <w:rPr>
          <w:rFonts w:hint="eastAsia" w:ascii="黑体" w:eastAsia="黑体"/>
          <w:b/>
          <w:bCs/>
          <w:color w:val="auto"/>
          <w:sz w:val="84"/>
          <w:highlight w:val="none"/>
          <w:vertAlign w:val="baseline"/>
        </w:rPr>
        <w:t>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36</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遴选</w:t>
          </w:r>
          <w:r>
            <w:rPr>
              <w:rFonts w:hint="eastAsia" w:ascii="仿宋" w:hAnsi="仿宋" w:eastAsia="仿宋" w:cs="宋体"/>
              <w:color w:val="auto"/>
              <w:sz w:val="28"/>
              <w:szCs w:val="28"/>
              <w:highlight w:val="none"/>
              <w:vertAlign w:val="baseline"/>
              <w:lang w:eastAsia="zh-CN"/>
            </w:rPr>
            <w:t>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19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遴选</w:t>
      </w:r>
      <w:r>
        <w:rPr>
          <w:rFonts w:hint="eastAsia" w:ascii="仿宋" w:hAnsi="仿宋" w:eastAsia="仿宋" w:cs="宋体"/>
          <w:color w:val="auto"/>
          <w:sz w:val="32"/>
          <w:szCs w:val="32"/>
          <w:highlight w:val="none"/>
          <w:lang w:eastAsia="zh-CN"/>
        </w:rPr>
        <w:t>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w:t>
      </w:r>
      <w:r>
        <w:rPr>
          <w:rFonts w:hint="eastAsia" w:ascii="仿宋" w:hAnsi="仿宋" w:eastAsia="仿宋" w:cs="宋体"/>
          <w:color w:val="auto"/>
          <w:kern w:val="0"/>
          <w:sz w:val="24"/>
          <w:szCs w:val="24"/>
          <w:highlight w:val="none"/>
          <w:vertAlign w:val="baseline"/>
          <w:lang w:eastAsia="zh-CN"/>
        </w:rPr>
        <w:t>《关于印发青岛市政府集中采购目录及标准的通知（2025年版）》</w:t>
      </w:r>
      <w:r>
        <w:rPr>
          <w:rFonts w:hint="eastAsia" w:ascii="仿宋" w:hAnsi="仿宋" w:eastAsia="仿宋" w:cs="宋体"/>
          <w:color w:val="auto"/>
          <w:kern w:val="0"/>
          <w:sz w:val="24"/>
          <w:szCs w:val="24"/>
          <w:highlight w:val="none"/>
          <w:vertAlign w:val="baseline"/>
        </w:rPr>
        <w:t>《青岛市妇女儿童医院招标采购管理办法》</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青岛市妇女儿童医院投影仪、扫描仪、叫号显示屏、台式计算机采购项目</w:t>
      </w:r>
      <w:r>
        <w:rPr>
          <w:rFonts w:hint="eastAsia" w:ascii="仿宋" w:hAnsi="仿宋" w:eastAsia="仿宋" w:cs="宋体"/>
          <w:color w:val="auto"/>
          <w:kern w:val="0"/>
          <w:sz w:val="24"/>
          <w:szCs w:val="24"/>
          <w:highlight w:val="none"/>
          <w:u w:val="none"/>
          <w:vertAlign w:val="baseline"/>
          <w:lang w:val="en-US" w:eastAsia="zh-CN"/>
        </w:rPr>
        <w:t>进行供应商公开遴选</w:t>
      </w:r>
      <w:r>
        <w:rPr>
          <w:rFonts w:hint="eastAsia" w:ascii="仿宋" w:hAnsi="仿宋" w:eastAsia="仿宋" w:cs="宋体"/>
          <w:color w:val="auto"/>
          <w:kern w:val="0"/>
          <w:sz w:val="24"/>
          <w:szCs w:val="24"/>
          <w:highlight w:val="none"/>
          <w:vertAlign w:val="baseline"/>
        </w:rPr>
        <w:t>，特邀请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有相应资质和具有相应供货能力的供应商根据遴选文件要求参加，并提供满足要求的货物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1、项目名称：青岛市妇女儿童医院投影仪、扫描仪、叫号显示屏</w:t>
      </w:r>
      <w:r>
        <w:rPr>
          <w:rFonts w:hint="eastAsia" w:ascii="仿宋" w:hAnsi="仿宋" w:eastAsia="仿宋" w:cs="宋体"/>
          <w:color w:val="auto"/>
          <w:sz w:val="24"/>
          <w:szCs w:val="24"/>
          <w:highlight w:val="none"/>
          <w:vertAlign w:val="baseline"/>
          <w:lang w:eastAsia="zh-CN"/>
        </w:rPr>
        <w:t>、</w:t>
      </w:r>
      <w:r>
        <w:rPr>
          <w:rFonts w:hint="eastAsia" w:ascii="仿宋" w:hAnsi="仿宋" w:eastAsia="仿宋" w:cs="宋体"/>
          <w:color w:val="auto"/>
          <w:sz w:val="24"/>
          <w:szCs w:val="24"/>
          <w:highlight w:val="none"/>
          <w:vertAlign w:val="baseline"/>
          <w:lang w:val="en-US" w:eastAsia="zh-CN"/>
        </w:rPr>
        <w:t>台式计算机供应商遴选项目</w:t>
      </w:r>
    </w:p>
    <w:p w14:paraId="0EBA1D64">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36</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第一、二、三包供应商应为山东省框架协议入围产品的入围供应商或代理商；第四包供应商所供产品须为山东省政府采购网上商城内产品。（请详读遴选文件“第四章 采购需求”中的内容）</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文件获取方式：青岛市妇女儿童医院官网-信息公开-招标采购栏遴选公告中附件下载。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遴选时间、报价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方式：本项目为现场遴选项目，须报名供应商按时到场参加。（备：如采购人要求以线上或其他方式进行遴选评审的，则按照采购人要求的方式进行）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具体公开遴选时间另行电话通知，请报名供应商保持手机畅通，因联系不畅等原因，未如期参加遴选的，责任自负。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遴选</w:t>
      </w:r>
      <w:r>
        <w:rPr>
          <w:rFonts w:hint="eastAsia" w:ascii="仿宋" w:hAnsi="仿宋" w:eastAsia="仿宋" w:cs="宋体"/>
          <w:color w:val="auto"/>
          <w:sz w:val="24"/>
          <w:szCs w:val="24"/>
          <w:highlight w:val="none"/>
          <w:vertAlign w:val="baseline"/>
        </w:rPr>
        <w:t>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97CF8A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投影仪、扫描仪、叫号显示屏、台式计算机供应商遴选项目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FECG2025003</w:t>
      </w:r>
      <w:r>
        <w:rPr>
          <w:rFonts w:hint="eastAsia" w:ascii="仿宋" w:hAnsi="仿宋" w:eastAsia="仿宋" w:cs="宋体"/>
          <w:color w:val="auto"/>
          <w:sz w:val="24"/>
          <w:szCs w:val="24"/>
          <w:highlight w:val="none"/>
          <w:vertAlign w:val="baseline"/>
          <w:lang w:val="en-US" w:eastAsia="zh-CN"/>
        </w:rPr>
        <w:t>6</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0324047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投影仪（预算金额25000元）</w:t>
      </w:r>
    </w:p>
    <w:tbl>
      <w:tblPr>
        <w:tblStyle w:val="10"/>
        <w:tblpPr w:leftFromText="180" w:rightFromText="180" w:vertAnchor="text" w:tblpX="-1105" w:tblpY="1"/>
        <w:tblOverlap w:val="never"/>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3173"/>
        <w:gridCol w:w="2110"/>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275D6E8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34" w:type="dxa"/>
            <w:vAlign w:val="center"/>
          </w:tcPr>
          <w:p w14:paraId="62693F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73" w:type="dxa"/>
            <w:vAlign w:val="center"/>
          </w:tcPr>
          <w:p w14:paraId="404DE7D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110" w:type="dxa"/>
            <w:vAlign w:val="center"/>
          </w:tcPr>
          <w:p w14:paraId="27D52D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0" w:type="dxa"/>
            <w:vAlign w:val="center"/>
          </w:tcPr>
          <w:p w14:paraId="4092A5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34" w:type="dxa"/>
            <w:vAlign w:val="center"/>
          </w:tcPr>
          <w:p w14:paraId="3D7336B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投影仪</w:t>
            </w:r>
          </w:p>
        </w:tc>
        <w:tc>
          <w:tcPr>
            <w:tcW w:w="3173" w:type="dxa"/>
            <w:vAlign w:val="center"/>
          </w:tcPr>
          <w:p w14:paraId="1DD8FD9B">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1、3700高流明，XGA分辨率1024*768，16000:1高对比度，20000小时长寿命，1.2倍变焦镜头，兼容4K超高清，显示色彩10.7亿；</w:t>
            </w:r>
          </w:p>
          <w:p w14:paraId="4F2EAACD">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2、支持垂直、水平、四角几何等多种校正功能，投射比1.5-1.8，画面比例4:3</w:t>
            </w:r>
          </w:p>
          <w:p w14:paraId="58F8CC3B">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HDMI接口+VGA接口；</w:t>
            </w:r>
          </w:p>
          <w:p w14:paraId="3A1601FD">
            <w:pPr>
              <w:numPr>
                <w:ilvl w:val="0"/>
                <w:numId w:val="3"/>
              </w:numPr>
              <w:spacing w:line="240" w:lineRule="auto"/>
              <w:ind w:left="0" w:leftChars="0" w:firstLine="0" w:firstLine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验收合格之日起质保≥3年;</w:t>
            </w:r>
          </w:p>
        </w:tc>
        <w:tc>
          <w:tcPr>
            <w:tcW w:w="2110" w:type="dxa"/>
            <w:vAlign w:val="center"/>
          </w:tcPr>
          <w:p w14:paraId="50272152">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p w14:paraId="67A9DDF1">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25000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p w14:paraId="1ABD546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3BDCC26F">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bookmarkStart w:id="5" w:name="_Toc22109"/>
      <w:bookmarkStart w:id="6" w:name="_Toc11005"/>
    </w:p>
    <w:p w14:paraId="674BBF9D">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2D22B35">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扫描仪（预算金额5000元）</w:t>
      </w:r>
    </w:p>
    <w:tbl>
      <w:tblPr>
        <w:tblStyle w:val="10"/>
        <w:tblW w:w="11227" w:type="dxa"/>
        <w:tblInd w:w="-1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
        <w:gridCol w:w="3161"/>
        <w:gridCol w:w="2089"/>
        <w:gridCol w:w="969"/>
        <w:gridCol w:w="831"/>
        <w:gridCol w:w="900"/>
        <w:gridCol w:w="957"/>
        <w:gridCol w:w="716"/>
      </w:tblGrid>
      <w:tr w14:paraId="411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49E8C2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23" w:type="dxa"/>
            <w:vAlign w:val="center"/>
          </w:tcPr>
          <w:p w14:paraId="4819995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61" w:type="dxa"/>
            <w:vAlign w:val="center"/>
          </w:tcPr>
          <w:p w14:paraId="6E0E7CC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089" w:type="dxa"/>
            <w:vAlign w:val="center"/>
          </w:tcPr>
          <w:p w14:paraId="609CCD8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69" w:type="dxa"/>
            <w:vAlign w:val="center"/>
          </w:tcPr>
          <w:p w14:paraId="6DF0E718">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6147C77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3865F46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1" w:type="dxa"/>
            <w:vAlign w:val="center"/>
          </w:tcPr>
          <w:p w14:paraId="4E5B73E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2D93A81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53184AE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22AC86E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7" w:type="dxa"/>
            <w:vAlign w:val="center"/>
          </w:tcPr>
          <w:p w14:paraId="1958F69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16" w:type="dxa"/>
            <w:vAlign w:val="center"/>
          </w:tcPr>
          <w:p w14:paraId="500D68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27D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1" w:type="dxa"/>
            <w:vAlign w:val="center"/>
          </w:tcPr>
          <w:p w14:paraId="4E7EB62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23" w:type="dxa"/>
            <w:vAlign w:val="center"/>
          </w:tcPr>
          <w:p w14:paraId="23E2B82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扫描仪</w:t>
            </w:r>
          </w:p>
        </w:tc>
        <w:tc>
          <w:tcPr>
            <w:tcW w:w="3161" w:type="dxa"/>
            <w:vAlign w:val="center"/>
          </w:tcPr>
          <w:p w14:paraId="4E0FE75F">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1、A4馈纸式，自动双面扫描，扫描元件：CIS，分辨率≥600dpi，色彩位数：48位；</w:t>
            </w:r>
          </w:p>
          <w:p w14:paraId="24371818">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2、ADF彩色单面扫描速度（A4 200dpi）≥40页/分钟；双面≥80页/分钟；</w:t>
            </w:r>
          </w:p>
          <w:p w14:paraId="2D867344">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3、扫描光源：LED，支持长文件扫描；</w:t>
            </w:r>
          </w:p>
          <w:p w14:paraId="5941CE08">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4、验收合格之日起质保≥3年;</w:t>
            </w:r>
          </w:p>
        </w:tc>
        <w:tc>
          <w:tcPr>
            <w:tcW w:w="2089" w:type="dxa"/>
            <w:vAlign w:val="center"/>
          </w:tcPr>
          <w:p w14:paraId="4F96FCFD">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tc>
        <w:tc>
          <w:tcPr>
            <w:tcW w:w="969" w:type="dxa"/>
            <w:vAlign w:val="center"/>
          </w:tcPr>
          <w:p w14:paraId="12ED3BE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831" w:type="dxa"/>
            <w:vAlign w:val="center"/>
          </w:tcPr>
          <w:p w14:paraId="60BDF43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1台</w:t>
            </w:r>
          </w:p>
        </w:tc>
        <w:tc>
          <w:tcPr>
            <w:tcW w:w="900" w:type="dxa"/>
            <w:vAlign w:val="center"/>
          </w:tcPr>
          <w:p w14:paraId="61ACBC5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957" w:type="dxa"/>
            <w:vAlign w:val="center"/>
          </w:tcPr>
          <w:p w14:paraId="7256B41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p w14:paraId="0DE8838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16" w:type="dxa"/>
            <w:vAlign w:val="center"/>
          </w:tcPr>
          <w:p w14:paraId="61294B4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0B3C98C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D119322">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台式计算机（预算金额165000元）</w:t>
      </w:r>
    </w:p>
    <w:tbl>
      <w:tblPr>
        <w:tblStyle w:val="10"/>
        <w:tblpPr w:leftFromText="180" w:rightFromText="180" w:vertAnchor="text" w:tblpX="-1093" w:tblpY="1"/>
        <w:tblOverlap w:val="never"/>
        <w:tblW w:w="11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
        <w:gridCol w:w="3138"/>
        <w:gridCol w:w="2133"/>
        <w:gridCol w:w="934"/>
        <w:gridCol w:w="833"/>
        <w:gridCol w:w="900"/>
        <w:gridCol w:w="950"/>
        <w:gridCol w:w="750"/>
      </w:tblGrid>
      <w:tr w14:paraId="6426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5FD5ABE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923" w:type="dxa"/>
            <w:vAlign w:val="center"/>
          </w:tcPr>
          <w:p w14:paraId="4FA89C9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38" w:type="dxa"/>
            <w:vAlign w:val="center"/>
          </w:tcPr>
          <w:p w14:paraId="6B7560E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2133" w:type="dxa"/>
            <w:vAlign w:val="center"/>
          </w:tcPr>
          <w:p w14:paraId="4E73151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框架协议</w:t>
            </w:r>
          </w:p>
        </w:tc>
        <w:tc>
          <w:tcPr>
            <w:tcW w:w="934" w:type="dxa"/>
            <w:vAlign w:val="center"/>
          </w:tcPr>
          <w:p w14:paraId="5261A0E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120E4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660EB96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F2809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6EE53F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53C722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F2208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27D4CCE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46DD6C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933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81" w:type="dxa"/>
            <w:vAlign w:val="center"/>
          </w:tcPr>
          <w:p w14:paraId="5841295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923" w:type="dxa"/>
            <w:vAlign w:val="center"/>
          </w:tcPr>
          <w:p w14:paraId="779DD62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台式计算机</w:t>
            </w:r>
          </w:p>
        </w:tc>
        <w:tc>
          <w:tcPr>
            <w:tcW w:w="3138" w:type="dxa"/>
            <w:vAlign w:val="center"/>
          </w:tcPr>
          <w:p w14:paraId="5EC4191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1.处理器：配置≥1颗国产C86架构</w:t>
            </w:r>
            <w:r>
              <w:rPr>
                <w:rFonts w:hint="eastAsia" w:ascii="仿宋" w:hAnsi="仿宋" w:eastAsia="仿宋" w:cs="仿宋"/>
                <w:b w:val="0"/>
                <w:bCs/>
                <w:color w:val="auto"/>
                <w:sz w:val="20"/>
                <w:szCs w:val="20"/>
                <w:highlight w:val="none"/>
                <w:vertAlign w:val="baseline"/>
                <w:lang w:val="en-US" w:eastAsia="zh-CN"/>
              </w:rPr>
              <w:t>CPU,</w:t>
            </w:r>
            <w:r>
              <w:rPr>
                <w:rFonts w:hint="default" w:ascii="仿宋" w:hAnsi="仿宋" w:eastAsia="仿宋" w:cs="仿宋"/>
                <w:b w:val="0"/>
                <w:bCs/>
                <w:color w:val="auto"/>
                <w:sz w:val="20"/>
                <w:szCs w:val="20"/>
                <w:highlight w:val="none"/>
                <w:vertAlign w:val="baseline"/>
                <w:lang w:val="en-US" w:eastAsia="zh-CN"/>
              </w:rPr>
              <w:t>每颗CPU物理核心数≥8核，每颗CPU主频≥3.0GHz，每颗CPU三级缓存≥16MB，支持超线程技术，线程数量≥16，采用国密算法；</w:t>
            </w:r>
          </w:p>
          <w:p w14:paraId="4479BD0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2.内存：≥16G，内存读写速率≥2133MT/S；</w:t>
            </w:r>
          </w:p>
          <w:p w14:paraId="7ED3B66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3.硬盘：≥512GB SSD</w:t>
            </w:r>
            <w:r>
              <w:rPr>
                <w:rFonts w:hint="eastAsia" w:ascii="仿宋" w:hAnsi="仿宋" w:eastAsia="仿宋" w:cs="仿宋"/>
                <w:b w:val="0"/>
                <w:bCs/>
                <w:color w:val="auto"/>
                <w:sz w:val="20"/>
                <w:szCs w:val="20"/>
                <w:highlight w:val="none"/>
                <w:vertAlign w:val="baseline"/>
                <w:lang w:val="en-US" w:eastAsia="zh-CN"/>
              </w:rPr>
              <w:t xml:space="preserve"> </w:t>
            </w:r>
            <w:r>
              <w:rPr>
                <w:rFonts w:hint="default" w:ascii="仿宋" w:hAnsi="仿宋" w:eastAsia="仿宋" w:cs="仿宋"/>
                <w:b w:val="0"/>
                <w:bCs/>
                <w:color w:val="auto"/>
                <w:sz w:val="20"/>
                <w:szCs w:val="20"/>
                <w:highlight w:val="none"/>
                <w:vertAlign w:val="baseline"/>
                <w:lang w:val="en-US" w:eastAsia="zh-CN"/>
              </w:rPr>
              <w:t>+</w:t>
            </w:r>
            <w:r>
              <w:rPr>
                <w:rFonts w:hint="eastAsia" w:ascii="仿宋" w:hAnsi="仿宋" w:eastAsia="仿宋" w:cs="仿宋"/>
                <w:b w:val="0"/>
                <w:bCs/>
                <w:color w:val="auto"/>
                <w:sz w:val="20"/>
                <w:szCs w:val="20"/>
                <w:highlight w:val="none"/>
                <w:vertAlign w:val="baseline"/>
                <w:lang w:val="en-US" w:eastAsia="zh-CN"/>
              </w:rPr>
              <w:t xml:space="preserve"> </w:t>
            </w:r>
            <w:r>
              <w:rPr>
                <w:rFonts w:hint="default" w:ascii="仿宋" w:hAnsi="仿宋" w:eastAsia="仿宋" w:cs="仿宋"/>
                <w:b w:val="0"/>
                <w:bCs/>
                <w:color w:val="auto"/>
                <w:sz w:val="20"/>
                <w:szCs w:val="20"/>
                <w:highlight w:val="none"/>
                <w:vertAlign w:val="baseline"/>
                <w:lang w:val="en-US" w:eastAsia="zh-CN"/>
              </w:rPr>
              <w:t>2T机械硬盘</w:t>
            </w:r>
          </w:p>
          <w:p w14:paraId="2D595C6F">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4.显卡：独立显卡，显存≥2GB；</w:t>
            </w:r>
          </w:p>
          <w:p w14:paraId="701543F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5.输入设备：USB</w:t>
            </w:r>
            <w:r>
              <w:rPr>
                <w:rFonts w:hint="eastAsia" w:ascii="仿宋" w:hAnsi="仿宋" w:eastAsia="仿宋" w:cs="仿宋"/>
                <w:b w:val="0"/>
                <w:bCs/>
                <w:color w:val="auto"/>
                <w:sz w:val="20"/>
                <w:szCs w:val="20"/>
                <w:highlight w:val="none"/>
                <w:vertAlign w:val="baseline"/>
                <w:lang w:val="en-US" w:eastAsia="zh-CN"/>
              </w:rPr>
              <w:t>无线</w:t>
            </w:r>
            <w:r>
              <w:rPr>
                <w:rFonts w:hint="default" w:ascii="仿宋" w:hAnsi="仿宋" w:eastAsia="仿宋" w:cs="仿宋"/>
                <w:b w:val="0"/>
                <w:bCs/>
                <w:color w:val="auto"/>
                <w:sz w:val="20"/>
                <w:szCs w:val="20"/>
                <w:highlight w:val="none"/>
                <w:vertAlign w:val="baseline"/>
                <w:lang w:val="en-US" w:eastAsia="zh-CN"/>
              </w:rPr>
              <w:t>键鼠套装；</w:t>
            </w:r>
          </w:p>
          <w:p w14:paraId="446E747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6.网卡：集成10/100 /1000M以太网卡；</w:t>
            </w:r>
            <w:r>
              <w:rPr>
                <w:rFonts w:hint="eastAsia" w:ascii="仿宋" w:hAnsi="仿宋" w:eastAsia="仿宋" w:cs="仿宋"/>
                <w:b w:val="0"/>
                <w:bCs/>
                <w:color w:val="auto"/>
                <w:sz w:val="20"/>
                <w:szCs w:val="20"/>
                <w:highlight w:val="none"/>
                <w:vertAlign w:val="baseline"/>
                <w:lang w:val="en-US" w:eastAsia="zh-CN"/>
              </w:rPr>
              <w:t>具有</w:t>
            </w:r>
            <w:r>
              <w:rPr>
                <w:rFonts w:hint="default" w:ascii="仿宋" w:hAnsi="仿宋" w:eastAsia="仿宋" w:cs="仿宋"/>
                <w:b w:val="0"/>
                <w:bCs/>
                <w:color w:val="auto"/>
                <w:sz w:val="20"/>
                <w:szCs w:val="20"/>
                <w:highlight w:val="none"/>
                <w:vertAlign w:val="baseline"/>
                <w:lang w:val="en-US" w:eastAsia="zh-CN"/>
              </w:rPr>
              <w:t>唤醒，网络冗余，负载均衡等网络高级特性；无线网卡支持WIFI6；</w:t>
            </w:r>
          </w:p>
          <w:p w14:paraId="4C8C062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TW"/>
              </w:rPr>
            </w:pPr>
            <w:r>
              <w:rPr>
                <w:rFonts w:hint="default" w:ascii="仿宋" w:hAnsi="仿宋" w:eastAsia="仿宋" w:cs="仿宋"/>
                <w:b w:val="0"/>
                <w:bCs/>
                <w:color w:val="auto"/>
                <w:sz w:val="20"/>
                <w:szCs w:val="20"/>
                <w:highlight w:val="none"/>
                <w:vertAlign w:val="baseline"/>
                <w:lang w:val="en-US" w:eastAsia="zh-CN"/>
              </w:rPr>
              <w:t>7.机箱</w:t>
            </w:r>
            <w:r>
              <w:rPr>
                <w:rFonts w:hint="eastAsia" w:ascii="仿宋" w:hAnsi="仿宋" w:eastAsia="仿宋" w:cs="仿宋"/>
                <w:b w:val="0"/>
                <w:bCs/>
                <w:color w:val="auto"/>
                <w:sz w:val="20"/>
                <w:szCs w:val="20"/>
                <w:highlight w:val="none"/>
                <w:vertAlign w:val="baseline"/>
                <w:lang w:val="en-US" w:eastAsia="zh-CN"/>
              </w:rPr>
              <w:t>：尺寸</w:t>
            </w:r>
            <w:r>
              <w:rPr>
                <w:rFonts w:hint="default" w:ascii="仿宋" w:hAnsi="仿宋" w:eastAsia="仿宋" w:cs="仿宋"/>
                <w:b w:val="0"/>
                <w:bCs/>
                <w:color w:val="auto"/>
                <w:sz w:val="20"/>
                <w:szCs w:val="20"/>
                <w:highlight w:val="none"/>
                <w:vertAlign w:val="baseline"/>
                <w:lang w:val="en-US" w:eastAsia="zh-CN"/>
              </w:rPr>
              <w:t>≤12L；</w:t>
            </w:r>
          </w:p>
          <w:p w14:paraId="0EE1CEE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8.电源</w:t>
            </w:r>
            <w:r>
              <w:rPr>
                <w:rFonts w:hint="eastAsia" w:ascii="仿宋" w:hAnsi="仿宋" w:eastAsia="仿宋" w:cs="仿宋"/>
                <w:b w:val="0"/>
                <w:bCs/>
                <w:color w:val="auto"/>
                <w:sz w:val="20"/>
                <w:szCs w:val="20"/>
                <w:highlight w:val="none"/>
                <w:vertAlign w:val="baseline"/>
                <w:lang w:val="en-US" w:eastAsia="zh-CN"/>
              </w:rPr>
              <w:t>：</w:t>
            </w:r>
            <w:r>
              <w:rPr>
                <w:rFonts w:hint="default" w:ascii="仿宋" w:hAnsi="仿宋" w:eastAsia="仿宋" w:cs="仿宋"/>
                <w:b w:val="0"/>
                <w:bCs/>
                <w:color w:val="auto"/>
                <w:sz w:val="20"/>
                <w:szCs w:val="20"/>
                <w:highlight w:val="none"/>
                <w:vertAlign w:val="baseline"/>
                <w:lang w:val="en-US" w:eastAsia="zh-CN"/>
              </w:rPr>
              <w:t>功率≥200W；</w:t>
            </w:r>
          </w:p>
          <w:p w14:paraId="0FDC79F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9.声卡和音箱：主板集成声卡；</w:t>
            </w:r>
          </w:p>
          <w:p w14:paraId="2262E18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10.端口：提供≥10个USB接口，前置≥4个USB3.0，后置≥2个USB3.0和≥4个USB2.0后置标配1个串口，前后2组音频接口（前2后3）</w:t>
            </w:r>
          </w:p>
          <w:p w14:paraId="1CEF5F8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11.</w:t>
            </w:r>
            <w:r>
              <w:rPr>
                <w:rFonts w:hint="eastAsia" w:ascii="仿宋" w:hAnsi="仿宋" w:eastAsia="仿宋" w:cs="仿宋"/>
                <w:b w:val="0"/>
                <w:bCs/>
                <w:color w:val="auto"/>
                <w:sz w:val="20"/>
                <w:szCs w:val="20"/>
                <w:highlight w:val="none"/>
                <w:vertAlign w:val="baseline"/>
                <w:lang w:val="en-US" w:eastAsia="zh-CN"/>
              </w:rPr>
              <w:t>显示器：</w:t>
            </w:r>
            <w:r>
              <w:rPr>
                <w:rFonts w:hint="default" w:ascii="仿宋" w:hAnsi="仿宋" w:eastAsia="仿宋" w:cs="仿宋"/>
                <w:b w:val="0"/>
                <w:bCs/>
                <w:color w:val="auto"/>
                <w:sz w:val="20"/>
                <w:szCs w:val="20"/>
                <w:highlight w:val="none"/>
                <w:vertAlign w:val="baseline"/>
                <w:lang w:val="en-US" w:eastAsia="zh-CN"/>
              </w:rPr>
              <w:t>液晶显示器</w:t>
            </w:r>
            <w:r>
              <w:rPr>
                <w:rFonts w:hint="eastAsia" w:ascii="仿宋" w:hAnsi="仿宋" w:eastAsia="仿宋" w:cs="仿宋"/>
                <w:b w:val="0"/>
                <w:bCs/>
                <w:color w:val="auto"/>
                <w:sz w:val="20"/>
                <w:szCs w:val="20"/>
                <w:highlight w:val="none"/>
                <w:vertAlign w:val="baseline"/>
                <w:lang w:val="en-US" w:eastAsia="zh-TW"/>
              </w:rPr>
              <w:t>,</w:t>
            </w:r>
            <w:r>
              <w:rPr>
                <w:rFonts w:hint="eastAsia" w:ascii="仿宋" w:hAnsi="仿宋" w:eastAsia="仿宋" w:cs="仿宋"/>
                <w:b w:val="0"/>
                <w:bCs/>
                <w:color w:val="auto"/>
                <w:sz w:val="20"/>
                <w:szCs w:val="20"/>
                <w:highlight w:val="none"/>
                <w:vertAlign w:val="baseline"/>
                <w:lang w:val="en-US" w:eastAsia="zh-CN"/>
              </w:rPr>
              <w:t>23.8</w:t>
            </w:r>
            <w:r>
              <w:rPr>
                <w:rFonts w:hint="default" w:ascii="仿宋" w:hAnsi="仿宋" w:eastAsia="仿宋" w:cs="仿宋"/>
                <w:b w:val="0"/>
                <w:bCs/>
                <w:color w:val="auto"/>
                <w:sz w:val="20"/>
                <w:szCs w:val="20"/>
                <w:highlight w:val="none"/>
                <w:vertAlign w:val="baseline"/>
                <w:lang w:val="en-US" w:eastAsia="zh-CN"/>
              </w:rPr>
              <w:t>寸≤显示器≤</w:t>
            </w:r>
            <w:r>
              <w:rPr>
                <w:rFonts w:hint="eastAsia" w:ascii="仿宋" w:hAnsi="仿宋" w:eastAsia="仿宋" w:cs="仿宋"/>
                <w:b w:val="0"/>
                <w:bCs/>
                <w:color w:val="auto"/>
                <w:sz w:val="20"/>
                <w:szCs w:val="20"/>
                <w:highlight w:val="none"/>
                <w:vertAlign w:val="baseline"/>
                <w:lang w:val="en-US" w:eastAsia="zh-CN"/>
              </w:rPr>
              <w:t>27</w:t>
            </w:r>
            <w:r>
              <w:rPr>
                <w:rFonts w:hint="default" w:ascii="仿宋" w:hAnsi="仿宋" w:eastAsia="仿宋" w:cs="仿宋"/>
                <w:b w:val="0"/>
                <w:bCs/>
                <w:color w:val="auto"/>
                <w:sz w:val="20"/>
                <w:szCs w:val="20"/>
                <w:highlight w:val="none"/>
                <w:vertAlign w:val="baseline"/>
                <w:lang w:val="en-US" w:eastAsia="zh-CN"/>
              </w:rPr>
              <w:t>寸</w:t>
            </w:r>
            <w:r>
              <w:rPr>
                <w:rFonts w:hint="eastAsia" w:ascii="仿宋" w:hAnsi="仿宋" w:eastAsia="仿宋" w:cs="仿宋"/>
                <w:b w:val="0"/>
                <w:bCs/>
                <w:color w:val="auto"/>
                <w:sz w:val="20"/>
                <w:szCs w:val="20"/>
                <w:highlight w:val="none"/>
                <w:vertAlign w:val="baseline"/>
                <w:lang w:val="en-US" w:eastAsia="zh-CN"/>
              </w:rPr>
              <w:t>，</w:t>
            </w:r>
            <w:r>
              <w:rPr>
                <w:rFonts w:hint="default" w:ascii="仿宋" w:hAnsi="仿宋" w:eastAsia="仿宋" w:cs="仿宋"/>
                <w:b w:val="0"/>
                <w:bCs/>
                <w:color w:val="auto"/>
                <w:sz w:val="20"/>
                <w:szCs w:val="20"/>
                <w:highlight w:val="none"/>
                <w:vertAlign w:val="baseline"/>
                <w:lang w:val="en-US" w:eastAsia="zh-CN"/>
              </w:rPr>
              <w:t>应与主机同品牌配置，分辨率≥1920*1080；</w:t>
            </w:r>
          </w:p>
          <w:p w14:paraId="2EF1900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12.操作系统：</w:t>
            </w:r>
            <w:r>
              <w:rPr>
                <w:rFonts w:hint="eastAsia" w:ascii="仿宋" w:hAnsi="仿宋" w:eastAsia="仿宋" w:cs="仿宋"/>
                <w:b w:val="0"/>
                <w:bCs/>
                <w:color w:val="auto"/>
                <w:sz w:val="20"/>
                <w:szCs w:val="20"/>
                <w:highlight w:val="none"/>
                <w:vertAlign w:val="baseline"/>
                <w:lang w:val="en-US" w:eastAsia="zh-CN"/>
              </w:rPr>
              <w:t>预装国产麒麟桌面操作系统；</w:t>
            </w:r>
          </w:p>
          <w:p w14:paraId="4D6EC85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13.软件功能：提供网络同传，硬盘还原等功能，提供基于BIOS级别的操作系统一键还原功能</w:t>
            </w:r>
            <w:r>
              <w:rPr>
                <w:rFonts w:hint="eastAsia" w:ascii="仿宋" w:hAnsi="仿宋" w:eastAsia="仿宋" w:cs="仿宋"/>
                <w:b w:val="0"/>
                <w:bCs/>
                <w:color w:val="auto"/>
                <w:sz w:val="20"/>
                <w:szCs w:val="20"/>
                <w:highlight w:val="none"/>
                <w:vertAlign w:val="baseline"/>
                <w:lang w:val="en-US" w:eastAsia="zh-CN"/>
              </w:rPr>
              <w:t>；</w:t>
            </w:r>
          </w:p>
          <w:p w14:paraId="60056FBD">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w:t>
            </w:r>
            <w:r>
              <w:rPr>
                <w:rFonts w:hint="default" w:ascii="仿宋" w:hAnsi="仿宋" w:eastAsia="仿宋" w:cs="仿宋"/>
                <w:b w:val="0"/>
                <w:bCs/>
                <w:color w:val="auto"/>
                <w:sz w:val="20"/>
                <w:szCs w:val="20"/>
                <w:highlight w:val="none"/>
                <w:vertAlign w:val="baseline"/>
                <w:lang w:val="en-US" w:eastAsia="zh-CN"/>
              </w:rPr>
              <w:t>质保</w:t>
            </w:r>
            <w:r>
              <w:rPr>
                <w:rFonts w:hint="eastAsia" w:ascii="仿宋" w:hAnsi="仿宋" w:eastAsia="仿宋" w:cs="仿宋"/>
                <w:b w:val="0"/>
                <w:bCs/>
                <w:color w:val="auto"/>
                <w:sz w:val="20"/>
                <w:szCs w:val="20"/>
                <w:highlight w:val="none"/>
                <w:vertAlign w:val="baseline"/>
                <w:lang w:val="en-US" w:eastAsia="zh-CN"/>
              </w:rPr>
              <w:t>服务</w:t>
            </w:r>
            <w:r>
              <w:rPr>
                <w:rFonts w:hint="default" w:ascii="仿宋" w:hAnsi="仿宋" w:eastAsia="仿宋" w:cs="仿宋"/>
                <w:b w:val="0"/>
                <w:bCs/>
                <w:color w:val="auto"/>
                <w:sz w:val="20"/>
                <w:szCs w:val="20"/>
                <w:highlight w:val="none"/>
                <w:vertAlign w:val="baseline"/>
                <w:lang w:val="en-US" w:eastAsia="zh-CN"/>
              </w:rPr>
              <w:t>：</w:t>
            </w:r>
            <w:r>
              <w:rPr>
                <w:rFonts w:hint="eastAsia" w:ascii="仿宋" w:hAnsi="仿宋" w:eastAsia="仿宋" w:cs="仿宋"/>
                <w:b w:val="0"/>
                <w:bCs/>
                <w:color w:val="auto"/>
                <w:sz w:val="20"/>
                <w:szCs w:val="20"/>
                <w:highlight w:val="none"/>
                <w:vertAlign w:val="baseline"/>
                <w:lang w:val="en-US" w:eastAsia="zh-CN"/>
              </w:rPr>
              <w:t>验收合格之日起</w:t>
            </w:r>
            <w:r>
              <w:rPr>
                <w:rFonts w:hint="default" w:ascii="仿宋" w:hAnsi="仿宋" w:eastAsia="仿宋" w:cs="仿宋"/>
                <w:b w:val="0"/>
                <w:bCs/>
                <w:color w:val="auto"/>
                <w:sz w:val="20"/>
                <w:szCs w:val="20"/>
                <w:highlight w:val="none"/>
                <w:vertAlign w:val="baseline"/>
                <w:lang w:val="en-US" w:eastAsia="zh-CN"/>
              </w:rPr>
              <w:t>≥五年原厂质保；</w:t>
            </w:r>
          </w:p>
        </w:tc>
        <w:tc>
          <w:tcPr>
            <w:tcW w:w="2133" w:type="dxa"/>
            <w:vAlign w:val="center"/>
          </w:tcPr>
          <w:p w14:paraId="5B8231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right="225"/>
              <w:jc w:val="left"/>
              <w:rPr>
                <w:rFonts w:hint="eastAsia" w:ascii="仿宋" w:hAnsi="仿宋" w:eastAsia="仿宋" w:cs="仿宋"/>
                <w:b w:val="0"/>
                <w:bCs/>
                <w:color w:val="auto"/>
                <w:kern w:val="2"/>
                <w:sz w:val="21"/>
                <w:szCs w:val="21"/>
                <w:highlight w:val="none"/>
                <w:u w:val="single"/>
                <w:vertAlign w:val="baseline"/>
                <w:lang w:val="en-US" w:eastAsia="zh-CN" w:bidi="ar-SA"/>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p w14:paraId="320C936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p>
        </w:tc>
        <w:tc>
          <w:tcPr>
            <w:tcW w:w="934" w:type="dxa"/>
            <w:vAlign w:val="center"/>
          </w:tcPr>
          <w:p w14:paraId="175F81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5500</w:t>
            </w:r>
          </w:p>
        </w:tc>
        <w:tc>
          <w:tcPr>
            <w:tcW w:w="833" w:type="dxa"/>
            <w:vAlign w:val="center"/>
          </w:tcPr>
          <w:p w14:paraId="0F80950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30台</w:t>
            </w:r>
          </w:p>
        </w:tc>
        <w:tc>
          <w:tcPr>
            <w:tcW w:w="900" w:type="dxa"/>
            <w:vAlign w:val="center"/>
          </w:tcPr>
          <w:p w14:paraId="1DE6989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165000</w:t>
            </w:r>
          </w:p>
        </w:tc>
        <w:tc>
          <w:tcPr>
            <w:tcW w:w="950" w:type="dxa"/>
            <w:vAlign w:val="center"/>
          </w:tcPr>
          <w:p w14:paraId="5FAD358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5年</w:t>
            </w:r>
          </w:p>
          <w:p w14:paraId="29E0713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以上</w:t>
            </w:r>
          </w:p>
        </w:tc>
        <w:tc>
          <w:tcPr>
            <w:tcW w:w="750" w:type="dxa"/>
            <w:vAlign w:val="center"/>
          </w:tcPr>
          <w:p w14:paraId="555C5E3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69741BF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378549C4">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9AFDFD">
      <w:pPr>
        <w:numPr>
          <w:ilvl w:val="0"/>
          <w:numId w:val="0"/>
        </w:numPr>
        <w:spacing w:line="360" w:lineRule="auto"/>
        <w:jc w:val="left"/>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第四包 叫号显示屏（预算金额15000元）</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6"/>
        <w:gridCol w:w="3139"/>
        <w:gridCol w:w="1073"/>
        <w:gridCol w:w="1004"/>
        <w:gridCol w:w="865"/>
        <w:gridCol w:w="1038"/>
        <w:gridCol w:w="704"/>
      </w:tblGrid>
      <w:tr w14:paraId="5753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7DD20390">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序号</w:t>
            </w:r>
          </w:p>
        </w:tc>
        <w:tc>
          <w:tcPr>
            <w:tcW w:w="946" w:type="dxa"/>
            <w:vAlign w:val="center"/>
          </w:tcPr>
          <w:p w14:paraId="23E8409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物资名称</w:t>
            </w:r>
          </w:p>
        </w:tc>
        <w:tc>
          <w:tcPr>
            <w:tcW w:w="3139" w:type="dxa"/>
            <w:vAlign w:val="center"/>
          </w:tcPr>
          <w:p w14:paraId="2EFA7C33">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参数要求</w:t>
            </w:r>
          </w:p>
        </w:tc>
        <w:tc>
          <w:tcPr>
            <w:tcW w:w="1073" w:type="dxa"/>
            <w:vAlign w:val="center"/>
          </w:tcPr>
          <w:p w14:paraId="6E5275EA">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预算</w:t>
            </w:r>
          </w:p>
          <w:p w14:paraId="70F022A7">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单价</w:t>
            </w:r>
          </w:p>
          <w:p w14:paraId="0A26888A">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（元）</w:t>
            </w:r>
          </w:p>
        </w:tc>
        <w:tc>
          <w:tcPr>
            <w:tcW w:w="1004" w:type="dxa"/>
            <w:vAlign w:val="center"/>
          </w:tcPr>
          <w:p w14:paraId="695B14ED">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数量及单位</w:t>
            </w:r>
          </w:p>
        </w:tc>
        <w:tc>
          <w:tcPr>
            <w:tcW w:w="865" w:type="dxa"/>
            <w:vAlign w:val="center"/>
          </w:tcPr>
          <w:p w14:paraId="5808DB30">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预算</w:t>
            </w:r>
          </w:p>
          <w:p w14:paraId="0B2D2C81">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总价</w:t>
            </w:r>
          </w:p>
          <w:p w14:paraId="255F3DED">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（元）</w:t>
            </w:r>
          </w:p>
        </w:tc>
        <w:tc>
          <w:tcPr>
            <w:tcW w:w="1038" w:type="dxa"/>
            <w:vAlign w:val="center"/>
          </w:tcPr>
          <w:p w14:paraId="3A359EBB">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质保期</w:t>
            </w:r>
          </w:p>
        </w:tc>
        <w:tc>
          <w:tcPr>
            <w:tcW w:w="704" w:type="dxa"/>
            <w:vAlign w:val="center"/>
          </w:tcPr>
          <w:p w14:paraId="0CA97747">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供货期</w:t>
            </w:r>
          </w:p>
        </w:tc>
      </w:tr>
      <w:tr w14:paraId="132E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69" w:type="dxa"/>
            <w:vAlign w:val="center"/>
          </w:tcPr>
          <w:p w14:paraId="7E076A69">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w:t>
            </w:r>
          </w:p>
        </w:tc>
        <w:tc>
          <w:tcPr>
            <w:tcW w:w="946" w:type="dxa"/>
            <w:vAlign w:val="center"/>
          </w:tcPr>
          <w:p w14:paraId="117A01D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叫号显示屏</w:t>
            </w:r>
          </w:p>
        </w:tc>
        <w:tc>
          <w:tcPr>
            <w:tcW w:w="3139" w:type="dxa"/>
            <w:vAlign w:val="center"/>
          </w:tcPr>
          <w:p w14:paraId="2E84818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1、屏幕尺寸:≥55英寸；</w:t>
            </w:r>
          </w:p>
          <w:p w14:paraId="774E0EA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2、屏幕分辨率: ≥3840×2160；</w:t>
            </w:r>
          </w:p>
          <w:p w14:paraId="027C1C27">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3、屏幕比例:16:9；</w:t>
            </w:r>
          </w:p>
          <w:p w14:paraId="006702A5">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4、背光源:LED；</w:t>
            </w:r>
          </w:p>
          <w:p w14:paraId="7AD6AAC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5、对比度：5000:1；</w:t>
            </w:r>
          </w:p>
          <w:p w14:paraId="1034BD52">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6、刷新频率:60Hz;</w:t>
            </w:r>
          </w:p>
          <w:p w14:paraId="5679EC48">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7、响应时间:8ms;</w:t>
            </w:r>
          </w:p>
          <w:p w14:paraId="3DB87A0E">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8、运行内存：≥4G；内部存储空间: ≥64G；</w:t>
            </w:r>
          </w:p>
          <w:p w14:paraId="234E47C6">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9、多声道功能:立体声；</w:t>
            </w:r>
          </w:p>
          <w:p w14:paraId="1B5F4C32">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10、扬声器类型:辐射方向向左/向右；扬声器数量:2个；</w:t>
            </w:r>
          </w:p>
          <w:p w14:paraId="3295639F">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11、HDMI：2个；以太网：1个；</w:t>
            </w:r>
          </w:p>
          <w:p w14:paraId="1D38DB9C">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12、USB支持视频格式:内置播放器：内置 Mi-Player 播放器，支持 RM、FLV、MOV、AVI、MKV、TS、MP4 等主流格式，支持H.265、H.264、Real、MPEG1/2/4等；</w:t>
            </w:r>
          </w:p>
          <w:p w14:paraId="1E350880">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13、工作电压（v）:220V ~ 50/60Hz;</w:t>
            </w:r>
          </w:p>
          <w:p w14:paraId="07E63C4D">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14、网络连接:支持无线/有线;</w:t>
            </w:r>
          </w:p>
          <w:p w14:paraId="7643144D">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15、电视吊挂架长度要求：1500mm~3000mm；承载重量要求：60kg以上；</w:t>
            </w:r>
          </w:p>
          <w:p w14:paraId="7C2A8CAC">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16、含配套挂架;含设备安装、电源线网线铺设等;</w:t>
            </w:r>
          </w:p>
          <w:p w14:paraId="5D054206">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17、验收合格之日起质保≥3年;</w:t>
            </w:r>
          </w:p>
          <w:p w14:paraId="111AA147">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bCs w:val="0"/>
                <w:color w:val="FF0000"/>
                <w:sz w:val="20"/>
                <w:szCs w:val="20"/>
                <w:highlight w:val="yellow"/>
                <w:vertAlign w:val="baseline"/>
                <w:lang w:val="en-US" w:eastAsia="zh-CN"/>
              </w:rPr>
              <w:t>18、须为山东省政府采购网上商城内产品。</w:t>
            </w:r>
          </w:p>
        </w:tc>
        <w:tc>
          <w:tcPr>
            <w:tcW w:w="1073" w:type="dxa"/>
            <w:vAlign w:val="center"/>
          </w:tcPr>
          <w:p w14:paraId="73005D52">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3000</w:t>
            </w:r>
          </w:p>
        </w:tc>
        <w:tc>
          <w:tcPr>
            <w:tcW w:w="1004" w:type="dxa"/>
            <w:vAlign w:val="center"/>
          </w:tcPr>
          <w:p w14:paraId="7483D17F">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5台</w:t>
            </w:r>
          </w:p>
        </w:tc>
        <w:tc>
          <w:tcPr>
            <w:tcW w:w="865" w:type="dxa"/>
            <w:vAlign w:val="center"/>
          </w:tcPr>
          <w:p w14:paraId="7C0CCCFE">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15000</w:t>
            </w:r>
            <w:bookmarkStart w:id="11" w:name="_GoBack"/>
            <w:bookmarkEnd w:id="11"/>
          </w:p>
        </w:tc>
        <w:tc>
          <w:tcPr>
            <w:tcW w:w="1038" w:type="dxa"/>
            <w:vAlign w:val="center"/>
          </w:tcPr>
          <w:p w14:paraId="70FA8BEB">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3年</w:t>
            </w:r>
          </w:p>
          <w:p w14:paraId="3B620CC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以上</w:t>
            </w:r>
          </w:p>
        </w:tc>
        <w:tc>
          <w:tcPr>
            <w:tcW w:w="704" w:type="dxa"/>
            <w:vAlign w:val="center"/>
          </w:tcPr>
          <w:p w14:paraId="1CC453A6">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1周</w:t>
            </w:r>
          </w:p>
        </w:tc>
      </w:tr>
    </w:tbl>
    <w:p w14:paraId="45E3E520">
      <w:pPr>
        <w:rPr>
          <w:rFonts w:hint="eastAsia" w:ascii="仿宋" w:hAnsi="仿宋" w:eastAsia="仿宋" w:cs="宋体"/>
          <w:bCs/>
          <w:color w:val="auto"/>
          <w:sz w:val="32"/>
          <w:szCs w:val="32"/>
          <w:highlight w:val="none"/>
          <w:lang w:val="en-US" w:eastAsia="zh-CN"/>
        </w:rPr>
      </w:pPr>
    </w:p>
    <w:p w14:paraId="3DD25475">
      <w:pPr>
        <w:rPr>
          <w:rFonts w:hint="eastAsia" w:ascii="仿宋" w:hAnsi="仿宋" w:eastAsia="仿宋" w:cs="宋体"/>
          <w:bCs/>
          <w:color w:val="auto"/>
          <w:sz w:val="32"/>
          <w:szCs w:val="32"/>
          <w:highlight w:val="none"/>
          <w:lang w:val="en-US" w:eastAsia="zh-CN"/>
        </w:rPr>
      </w:pPr>
    </w:p>
    <w:p w14:paraId="5C2B314A">
      <w:pPr>
        <w:rPr>
          <w:rFonts w:hint="eastAsia" w:ascii="仿宋" w:hAnsi="仿宋" w:eastAsia="仿宋" w:cs="宋体"/>
          <w:bCs/>
          <w:color w:val="auto"/>
          <w:sz w:val="32"/>
          <w:szCs w:val="32"/>
          <w:highlight w:val="none"/>
          <w:lang w:val="en-US" w:eastAsia="zh-CN"/>
        </w:rPr>
      </w:pPr>
    </w:p>
    <w:p w14:paraId="1CDF3417">
      <w:pPr>
        <w:rPr>
          <w:rFonts w:hint="eastAsia" w:ascii="仿宋" w:hAnsi="仿宋" w:eastAsia="仿宋" w:cs="宋体"/>
          <w:bCs/>
          <w:color w:val="auto"/>
          <w:sz w:val="32"/>
          <w:szCs w:val="32"/>
          <w:highlight w:val="none"/>
          <w:lang w:val="en-US" w:eastAsia="zh-CN"/>
        </w:rPr>
      </w:pPr>
    </w:p>
    <w:p w14:paraId="719FF368">
      <w:pPr>
        <w:rPr>
          <w:rFonts w:hint="eastAsia" w:ascii="仿宋" w:hAnsi="仿宋" w:eastAsia="仿宋" w:cs="宋体"/>
          <w:bCs/>
          <w:color w:val="auto"/>
          <w:sz w:val="32"/>
          <w:szCs w:val="32"/>
          <w:highlight w:val="none"/>
          <w:lang w:val="en-US" w:eastAsia="zh-CN"/>
        </w:rPr>
      </w:pPr>
    </w:p>
    <w:p w14:paraId="433B798C">
      <w:pPr>
        <w:rPr>
          <w:rFonts w:hint="eastAsia" w:ascii="仿宋" w:hAnsi="仿宋" w:eastAsia="仿宋" w:cs="宋体"/>
          <w:bCs/>
          <w:color w:val="auto"/>
          <w:sz w:val="32"/>
          <w:szCs w:val="32"/>
          <w:highlight w:val="none"/>
          <w:lang w:val="en-US" w:eastAsia="zh-CN"/>
        </w:rPr>
      </w:pPr>
    </w:p>
    <w:p w14:paraId="562EACE2">
      <w:pPr>
        <w:rPr>
          <w:rFonts w:hint="eastAsia" w:ascii="仿宋" w:hAnsi="仿宋" w:eastAsia="仿宋" w:cs="宋体"/>
          <w:bCs/>
          <w:color w:val="auto"/>
          <w:sz w:val="32"/>
          <w:szCs w:val="32"/>
          <w:highlight w:val="none"/>
          <w:lang w:val="en-US" w:eastAsia="zh-CN"/>
        </w:rPr>
      </w:pPr>
    </w:p>
    <w:p w14:paraId="77E26764">
      <w:pPr>
        <w:rPr>
          <w:rFonts w:hint="eastAsia" w:ascii="仿宋" w:hAnsi="仿宋" w:eastAsia="仿宋" w:cs="宋体"/>
          <w:bCs/>
          <w:color w:val="auto"/>
          <w:sz w:val="32"/>
          <w:szCs w:val="32"/>
          <w:highlight w:val="none"/>
          <w:lang w:val="en-US" w:eastAsia="zh-CN"/>
        </w:rPr>
      </w:pPr>
    </w:p>
    <w:p w14:paraId="32F23349">
      <w:pPr>
        <w:rPr>
          <w:rFonts w:hint="eastAsia" w:ascii="仿宋" w:hAnsi="仿宋" w:eastAsia="仿宋" w:cs="宋体"/>
          <w:bCs/>
          <w:color w:val="auto"/>
          <w:sz w:val="32"/>
          <w:szCs w:val="32"/>
          <w:highlight w:val="none"/>
          <w:lang w:val="en-US" w:eastAsia="zh-CN"/>
        </w:rPr>
      </w:pPr>
    </w:p>
    <w:p w14:paraId="7C4E4566">
      <w:pPr>
        <w:rPr>
          <w:rFonts w:hint="eastAsia" w:ascii="仿宋" w:hAnsi="仿宋" w:eastAsia="仿宋" w:cs="宋体"/>
          <w:bCs/>
          <w:color w:val="auto"/>
          <w:sz w:val="32"/>
          <w:szCs w:val="32"/>
          <w:highlight w:val="none"/>
          <w:lang w:val="en-US" w:eastAsia="zh-CN"/>
        </w:rPr>
      </w:pPr>
    </w:p>
    <w:p w14:paraId="1618CA2B">
      <w:pPr>
        <w:rPr>
          <w:rFonts w:hint="default"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响应供应商应仔细阅读遴选文件的所有内容，按照遴选文件的要求及格式编制响应文件，并保证其真实性，否则一切后果自负。</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报名遴选</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“意向供应商”系指响应采购人的遴选活动，按照采购人遴选文件的要求实质参与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活动，包括获取遴选文件、提交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文件、参与采购人遴选评审，意图成为采购人采购项目成交供应商的单位或个人。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的对应标的供应商，并满足本项目供应商资格要求、能提供符合采购要求的标的并符合遴选文件规定的供应商。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遴选文件中带“★”条款为实质性条款，供应商必须按照遴选文件的要求做出实质性响应；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参与遴选活动的供应商应对遴选文件和响应文件中的商业和技术等秘密保密，违者应对由此造成的后果承担法律责任。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除非有特殊要求，遴选文件不单独提供项目所在地的自然环境、气候条件、公用设施等情况，供应商被视为熟悉上述与履行合同有关的一切情况。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采购人有权调整变更遴选文件的递交地点、截止时间、方式等。在遴选响应文件递交截止时间之前，采购人有权调整变更采购条件，有权撤销本次采购安排，采购人不向意向供应商承担任何责任。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6.5如采购人认为参与遴选的意向供应商或其响应条件均不符合采购人的采购要求，采购人有权停止本次采购，且不向意向供应商承担任何责任。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BDBAF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0"/>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框架协议编号</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文件，同意</w:t>
      </w:r>
      <w:r>
        <w:rPr>
          <w:rFonts w:hint="eastAsia" w:ascii="仿宋" w:hAnsi="仿宋" w:eastAsia="仿宋" w:cs="宋体"/>
          <w:b/>
          <w:bCs/>
          <w:color w:val="auto"/>
          <w:highlight w:val="none"/>
          <w:vertAlign w:val="baseline"/>
          <w:lang w:val="en-US" w:eastAsia="zh-CN"/>
        </w:rPr>
        <w:t>并响应遴选</w:t>
      </w:r>
      <w:r>
        <w:rPr>
          <w:rFonts w:hint="eastAsia" w:ascii="仿宋" w:hAnsi="仿宋" w:eastAsia="仿宋" w:cs="宋体"/>
          <w:b/>
          <w:bCs/>
          <w:color w:val="auto"/>
          <w:highlight w:val="none"/>
          <w:vertAlign w:val="baseline"/>
          <w:lang w:val="zh-CN"/>
        </w:rPr>
        <w:t>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3"/>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3"/>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3"/>
        <w:ind w:firstLine="482"/>
        <w:rPr>
          <w:rFonts w:hint="eastAsia" w:ascii="仿宋" w:hAnsi="仿宋" w:eastAsia="仿宋"/>
          <w:b/>
          <w:bCs/>
          <w:color w:val="auto"/>
          <w:kern w:val="1"/>
          <w:sz w:val="24"/>
          <w:szCs w:val="24"/>
          <w:highlight w:val="none"/>
        </w:rPr>
      </w:pPr>
    </w:p>
    <w:p w14:paraId="1C7BBDA7">
      <w:pPr>
        <w:pStyle w:val="13"/>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3"/>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3"/>
        <w:ind w:firstLine="480"/>
        <w:rPr>
          <w:rFonts w:hint="eastAsia" w:ascii="仿宋" w:hAnsi="仿宋" w:eastAsia="仿宋"/>
          <w:color w:val="auto"/>
          <w:kern w:val="1"/>
          <w:sz w:val="24"/>
          <w:szCs w:val="24"/>
          <w:highlight w:val="none"/>
        </w:rPr>
      </w:pPr>
    </w:p>
    <w:p w14:paraId="291AF4F2">
      <w:pPr>
        <w:pStyle w:val="13"/>
        <w:ind w:firstLine="480"/>
        <w:rPr>
          <w:rFonts w:hint="eastAsia" w:ascii="仿宋" w:hAnsi="仿宋" w:eastAsia="仿宋"/>
          <w:color w:val="auto"/>
          <w:kern w:val="1"/>
          <w:sz w:val="24"/>
          <w:szCs w:val="24"/>
          <w:highlight w:val="none"/>
        </w:rPr>
      </w:pPr>
    </w:p>
    <w:p w14:paraId="584407FD">
      <w:pPr>
        <w:pStyle w:val="13"/>
        <w:ind w:firstLine="480"/>
        <w:rPr>
          <w:rFonts w:hint="eastAsia" w:ascii="仿宋" w:hAnsi="仿宋" w:eastAsia="仿宋"/>
          <w:color w:val="auto"/>
          <w:kern w:val="1"/>
          <w:sz w:val="24"/>
          <w:szCs w:val="24"/>
          <w:highlight w:val="none"/>
        </w:rPr>
      </w:pPr>
    </w:p>
    <w:p w14:paraId="4F183070">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投标人名称(盖公章)：</w:t>
      </w:r>
    </w:p>
    <w:p w14:paraId="7EC00E97">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法定代表人（签字）：</w:t>
      </w:r>
    </w:p>
    <w:p w14:paraId="35466333">
      <w:pPr>
        <w:snapToGrid w:val="0"/>
        <w:spacing w:line="460" w:lineRule="exact"/>
        <w:jc w:val="right"/>
        <w:rPr>
          <w:rStyle w:val="14"/>
          <w:rFonts w:hint="default" w:cs="仿宋"/>
          <w:color w:val="auto"/>
          <w:sz w:val="24"/>
          <w:szCs w:val="24"/>
          <w:highlight w:val="none"/>
          <w:vertAlign w:val="baseline"/>
          <w:lang w:val="en-US" w:eastAsia="zh-CN" w:bidi="ar-SA"/>
        </w:rPr>
      </w:pPr>
      <w:r>
        <w:rPr>
          <w:rStyle w:val="14"/>
          <w:rFonts w:hint="default" w:cs="仿宋"/>
          <w:color w:val="auto"/>
          <w:sz w:val="24"/>
          <w:szCs w:val="24"/>
          <w:highlight w:val="none"/>
        </w:rPr>
        <w:t xml:space="preserve">                       </w:t>
      </w:r>
      <w:r>
        <w:rPr>
          <w:rStyle w:val="14"/>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4"/>
          <w:rFonts w:hint="default" w:cs="仿宋"/>
          <w:color w:val="auto"/>
          <w:sz w:val="24"/>
          <w:szCs w:val="24"/>
          <w:highlight w:val="none"/>
          <w:vertAlign w:val="baseline"/>
          <w:lang w:val="en-US" w:eastAsia="zh-CN" w:bidi="ar-SA"/>
        </w:rPr>
      </w:pPr>
    </w:p>
    <w:p w14:paraId="2245E805">
      <w:pPr>
        <w:snapToGrid w:val="0"/>
        <w:spacing w:line="460" w:lineRule="exact"/>
        <w:jc w:val="right"/>
        <w:rPr>
          <w:rStyle w:val="14"/>
          <w:rFonts w:hint="default" w:cs="仿宋"/>
          <w:color w:val="auto"/>
          <w:sz w:val="24"/>
          <w:szCs w:val="24"/>
          <w:highlight w:val="none"/>
          <w:vertAlign w:val="baseline"/>
          <w:lang w:val="en-US" w:eastAsia="zh-CN" w:bidi="ar-SA"/>
        </w:rPr>
      </w:pPr>
    </w:p>
    <w:p w14:paraId="75397FFF">
      <w:pPr>
        <w:snapToGrid w:val="0"/>
        <w:spacing w:line="460" w:lineRule="exact"/>
        <w:jc w:val="right"/>
        <w:rPr>
          <w:rStyle w:val="14"/>
          <w:rFonts w:hint="default" w:cs="仿宋"/>
          <w:color w:val="auto"/>
          <w:sz w:val="24"/>
          <w:szCs w:val="24"/>
          <w:highlight w:val="none"/>
          <w:vertAlign w:val="baseline"/>
          <w:lang w:val="en-US" w:eastAsia="zh-CN" w:bidi="ar-SA"/>
        </w:rPr>
      </w:pPr>
    </w:p>
    <w:p w14:paraId="1323D198">
      <w:pPr>
        <w:snapToGrid w:val="0"/>
        <w:spacing w:line="460" w:lineRule="exact"/>
        <w:jc w:val="left"/>
        <w:rPr>
          <w:rStyle w:val="14"/>
          <w:rFonts w:hint="eastAsia" w:cs="仿宋"/>
          <w:color w:val="auto"/>
          <w:sz w:val="28"/>
          <w:szCs w:val="28"/>
          <w:highlight w:val="none"/>
          <w:vertAlign w:val="baseline"/>
          <w:lang w:val="en-US" w:eastAsia="zh-CN" w:bidi="ar-SA"/>
        </w:rPr>
      </w:pPr>
      <w:r>
        <w:rPr>
          <w:rStyle w:val="14"/>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4、框架协议产品截图、网上商城产品截图等证明材料；</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6、供应商承诺可提供的售后服务、附加服务等证明材料。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本项目评审办法为综合评分法。遴选小组完成评审后，以符合采购需求且得分最高的供应商确认为成交供应商。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2"/>
      </w:rPr>
    </w:pPr>
    <w:r>
      <w:fldChar w:fldCharType="begin"/>
    </w:r>
    <w:r>
      <w:rPr>
        <w:rStyle w:val="12"/>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EB7E60"/>
    <w:rsid w:val="011C35D4"/>
    <w:rsid w:val="052D3B24"/>
    <w:rsid w:val="06E41097"/>
    <w:rsid w:val="0715148C"/>
    <w:rsid w:val="07D97B6D"/>
    <w:rsid w:val="08E053FD"/>
    <w:rsid w:val="0B3C188E"/>
    <w:rsid w:val="0B603E17"/>
    <w:rsid w:val="0BC41F21"/>
    <w:rsid w:val="0F07199D"/>
    <w:rsid w:val="110C12EC"/>
    <w:rsid w:val="11241C58"/>
    <w:rsid w:val="12040D82"/>
    <w:rsid w:val="121865DB"/>
    <w:rsid w:val="124D331C"/>
    <w:rsid w:val="12D55D1E"/>
    <w:rsid w:val="14694F50"/>
    <w:rsid w:val="14816CC8"/>
    <w:rsid w:val="14C76F80"/>
    <w:rsid w:val="15E12F09"/>
    <w:rsid w:val="160B61C2"/>
    <w:rsid w:val="193E2DCB"/>
    <w:rsid w:val="198F2D53"/>
    <w:rsid w:val="1A66082C"/>
    <w:rsid w:val="1A9A51D3"/>
    <w:rsid w:val="1AFD138A"/>
    <w:rsid w:val="1C7C1E53"/>
    <w:rsid w:val="1DF46F51"/>
    <w:rsid w:val="1EE838F2"/>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50D5FF0"/>
    <w:rsid w:val="46A24A05"/>
    <w:rsid w:val="477D4822"/>
    <w:rsid w:val="48AA548E"/>
    <w:rsid w:val="48AE0952"/>
    <w:rsid w:val="4973433F"/>
    <w:rsid w:val="49E45221"/>
    <w:rsid w:val="4CD3045E"/>
    <w:rsid w:val="4D84279B"/>
    <w:rsid w:val="4E056021"/>
    <w:rsid w:val="4F3F325D"/>
    <w:rsid w:val="51542485"/>
    <w:rsid w:val="52074D56"/>
    <w:rsid w:val="53311C77"/>
    <w:rsid w:val="556E3867"/>
    <w:rsid w:val="55A97849"/>
    <w:rsid w:val="56F03878"/>
    <w:rsid w:val="5927777C"/>
    <w:rsid w:val="59396B30"/>
    <w:rsid w:val="59F618C3"/>
    <w:rsid w:val="5B975D90"/>
    <w:rsid w:val="5C4F02C9"/>
    <w:rsid w:val="5E693542"/>
    <w:rsid w:val="5EF1324F"/>
    <w:rsid w:val="5F9A5527"/>
    <w:rsid w:val="60D35759"/>
    <w:rsid w:val="62402164"/>
    <w:rsid w:val="632F44C3"/>
    <w:rsid w:val="646A2293"/>
    <w:rsid w:val="64F462FB"/>
    <w:rsid w:val="675B72B0"/>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387785"/>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3634</Words>
  <Characters>4246</Characters>
  <Lines>0</Lines>
  <Paragraphs>0</Paragraphs>
  <TotalTime>8</TotalTime>
  <ScaleCrop>false</ScaleCrop>
  <LinksUpToDate>false</LinksUpToDate>
  <CharactersWithSpaces>4377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2025-07-22T03:26:00Z</cp:lastPrinted>
  <dcterms:modified xsi:type="dcterms:W3CDTF">2025-07-31T00:33:21Z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