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_GBK" w:eastAsia="方正小标宋_GBK" w:cs="方正小标宋_GBK"/>
          <w:color w:val="FF0000"/>
          <w:spacing w:val="40"/>
          <w:w w:val="39"/>
          <w:sz w:val="120"/>
          <w:szCs w:val="120"/>
        </w:rPr>
      </w:pPr>
    </w:p>
    <w:p>
      <w:pPr>
        <w:spacing w:before="240" w:line="1300" w:lineRule="exact"/>
        <w:jc w:val="center"/>
        <w:rPr>
          <w:rFonts w:ascii="方正小标宋_GBK" w:hAnsi="方正小标宋_GBK" w:eastAsia="方正小标宋_GBK" w:cs="方正小标宋_GBK"/>
          <w:color w:val="FF0000"/>
          <w:spacing w:val="68"/>
          <w:w w:val="60"/>
          <w:kern w:val="0"/>
          <w:sz w:val="120"/>
          <w:szCs w:val="120"/>
        </w:rPr>
      </w:pPr>
      <w:r>
        <w:rPr>
          <w:rFonts w:hint="eastAsia" w:ascii="方正小标宋_GBK" w:hAnsi="方正小标宋_GBK" w:eastAsia="方正小标宋_GBK" w:cs="方正小标宋_GBK"/>
          <w:color w:val="FF0000"/>
          <w:spacing w:val="68"/>
          <w:w w:val="60"/>
          <w:kern w:val="0"/>
          <w:sz w:val="120"/>
          <w:szCs w:val="120"/>
        </w:rPr>
        <w:t>青岛市医疗保障局文件</w:t>
      </w:r>
    </w:p>
    <w:p>
      <w:pPr>
        <w:spacing w:before="240" w:line="1300" w:lineRule="exact"/>
        <w:jc w:val="center"/>
        <w:rPr>
          <w:rFonts w:ascii="楷体" w:hAnsi="楷体" w:eastAsia="楷体" w:cs="楷体"/>
          <w:w w:val="60"/>
          <w:szCs w:val="32"/>
        </w:rPr>
      </w:pPr>
      <w:r>
        <w:rPr>
          <w:rFonts w:hint="eastAsia" w:ascii="仿宋_GB2312" w:hAnsi="宋体" w:eastAsia="仿宋_GB2312" w:cs="仿宋_GB2312"/>
          <w:szCs w:val="32"/>
        </w:rPr>
        <w:t>青医保发</w:t>
      </w:r>
      <w:r>
        <w:rPr>
          <w:rFonts w:hint="eastAsia" w:ascii="仿宋_GB2312" w:eastAsia="仿宋_GB2312" w:cs="仿宋_GB2312"/>
          <w:szCs w:val="32"/>
        </w:rPr>
        <w:t>〔</w:t>
      </w:r>
      <w:r>
        <w:rPr>
          <w:rFonts w:ascii="仿宋_GB2312" w:eastAsia="仿宋_GB2312" w:cs="仿宋_GB2312"/>
          <w:szCs w:val="32"/>
        </w:rPr>
        <w:t>20</w:t>
      </w:r>
      <w:r>
        <w:rPr>
          <w:rFonts w:hint="eastAsia" w:ascii="仿宋_GB2312" w:eastAsia="仿宋_GB2312" w:cs="仿宋_GB2312"/>
          <w:szCs w:val="32"/>
        </w:rPr>
        <w:t>22〕</w:t>
      </w:r>
      <w:r>
        <w:rPr>
          <w:rFonts w:hint="default" w:ascii="仿宋_GB2312" w:eastAsia="仿宋_GB2312" w:cs="仿宋_GB2312"/>
          <w:szCs w:val="32"/>
          <w:lang w:val="en"/>
        </w:rPr>
        <w:t>27</w:t>
      </w:r>
      <w:r>
        <w:rPr>
          <w:rFonts w:hint="eastAsia" w:ascii="仿宋_GB2312" w:eastAsia="仿宋_GB2312" w:cs="仿宋_GB2312"/>
          <w:szCs w:val="32"/>
        </w:rPr>
        <w:t>号</w:t>
      </w:r>
    </w:p>
    <w:p>
      <w:pPr>
        <w:tabs>
          <w:tab w:val="left" w:pos="1305"/>
        </w:tabs>
        <w:spacing w:line="240" w:lineRule="exact"/>
        <w:jc w:val="center"/>
        <w:rPr>
          <w:rFonts w:ascii="方正小标宋_GBK" w:hAnsi="楷体" w:eastAsia="方正小标宋_GBK" w:cs="方正小标宋_GBK"/>
          <w:szCs w:val="32"/>
        </w:rPr>
      </w:pPr>
      <w:r>
        <w:rPr>
          <w:spacing w:val="68"/>
          <w:w w:val="60"/>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35560</wp:posOffset>
                </wp:positionV>
                <wp:extent cx="5568950" cy="0"/>
                <wp:effectExtent l="10795" t="16510" r="11430" b="12065"/>
                <wp:wrapNone/>
                <wp:docPr id="2" name="直接连接符 2"/>
                <wp:cNvGraphicFramePr/>
                <a:graphic xmlns:a="http://schemas.openxmlformats.org/drawingml/2006/main">
                  <a:graphicData uri="http://schemas.microsoft.com/office/word/2010/wordprocessingShape">
                    <wps:wsp>
                      <wps:cNvCnPr>
                        <a:cxnSpLocks noChangeShapeType="true"/>
                      </wps:cNvCnPr>
                      <wps:spPr bwMode="auto">
                        <a:xfrm flipV="true">
                          <a:off x="0" y="0"/>
                          <a:ext cx="5568950" cy="0"/>
                        </a:xfrm>
                        <a:prstGeom prst="line">
                          <a:avLst/>
                        </a:prstGeom>
                        <a:noFill/>
                        <a:ln w="18923">
                          <a:solidFill>
                            <a:srgbClr val="FF0000"/>
                          </a:solidFill>
                          <a:round/>
                        </a:ln>
                      </wps:spPr>
                      <wps:bodyPr/>
                    </wps:wsp>
                  </a:graphicData>
                </a:graphic>
              </wp:anchor>
            </w:drawing>
          </mc:Choice>
          <mc:Fallback>
            <w:pict>
              <v:line id="_x0000_s1026" o:spid="_x0000_s1026" o:spt="20" style="position:absolute;left:0pt;flip:y;margin-left:-5.9pt;margin-top:2.8pt;height:0pt;width:438.5pt;z-index:251659264;mso-width-relative:page;mso-height-relative:page;" filled="f" stroked="t" coordsize="21600,21600" o:gfxdata="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InRFxfU&#10;AAAABwEAAA8AAAAAAAAAAQAgAAAAOAAAAGRycy9kb3ducmV2LnhtbFBLAQIUABQAAAAIAIdO4kDN&#10;g+Bv1QEAAG0DAAAOAAAAAAAAAAEAIAAAADkBAABkcnMvZTJvRG9jLnhtbFBLBQYAAAAABgAGAFkB&#10;AACABQAAAAA=&#10;">
                <v:fill on="f" focussize="0,0"/>
                <v:stroke weight="1.49pt" color="#FF0000" joinstyle="round"/>
                <v:imagedata o:title=""/>
                <o:lock v:ext="edit" aspectratio="f"/>
              </v:line>
            </w:pict>
          </mc:Fallback>
        </mc:AlternateContent>
      </w:r>
    </w:p>
    <w:p>
      <w:pPr>
        <w:spacing w:line="560" w:lineRule="exact"/>
        <w:rPr>
          <w:rFonts w:ascii="方正小标宋_GBK" w:eastAsia="方正小标宋_GBK"/>
          <w:color w:val="000000"/>
          <w:sz w:val="44"/>
          <w:szCs w:val="44"/>
        </w:rPr>
      </w:pPr>
    </w:p>
    <w:p>
      <w:pPr>
        <w:spacing w:line="560" w:lineRule="exact"/>
        <w:jc w:val="center"/>
        <w:rPr>
          <w:rFonts w:ascii="方正小标宋_GBK" w:hAnsi="宋体" w:eastAsia="方正小标宋_GBK" w:cs="宋体"/>
          <w:sz w:val="44"/>
          <w:szCs w:val="44"/>
        </w:rPr>
      </w:pPr>
      <w:r>
        <w:rPr>
          <w:rFonts w:hint="eastAsia" w:ascii="方正小标宋_GBK" w:hAnsi="宋体" w:eastAsia="方正小标宋_GBK" w:cs="宋体"/>
          <w:sz w:val="44"/>
          <w:szCs w:val="44"/>
        </w:rPr>
        <w:t>关于公布部分医疗服务项目价格的通知</w:t>
      </w:r>
    </w:p>
    <w:p>
      <w:pPr>
        <w:widowControl/>
        <w:spacing w:line="560" w:lineRule="exact"/>
        <w:jc w:val="center"/>
        <w:rPr>
          <w:rFonts w:ascii="昆仑仿宋" w:eastAsia="昆仑仿宋"/>
          <w:spacing w:val="4"/>
          <w:sz w:val="44"/>
          <w:szCs w:val="44"/>
        </w:rPr>
      </w:pPr>
    </w:p>
    <w:p>
      <w:pPr>
        <w:widowControl/>
        <w:spacing w:line="560" w:lineRule="exact"/>
        <w:jc w:val="left"/>
        <w:rPr>
          <w:rFonts w:ascii="仿宋_GB2312" w:hAnsi="仿宋" w:eastAsia="仿宋_GB2312" w:cs="仿宋"/>
          <w:color w:val="000000"/>
          <w:kern w:val="0"/>
          <w:szCs w:val="32"/>
        </w:rPr>
      </w:pPr>
      <w:r>
        <w:rPr>
          <w:rFonts w:hint="eastAsia" w:ascii="仿宋_GB2312" w:hAnsi="仿宋" w:eastAsia="仿宋_GB2312" w:cs="仿宋"/>
          <w:color w:val="000000"/>
          <w:kern w:val="0"/>
          <w:szCs w:val="32"/>
        </w:rPr>
        <w:t>各区、市医保局，各有关医疗机构：</w:t>
      </w:r>
    </w:p>
    <w:p>
      <w:pPr>
        <w:pStyle w:val="7"/>
        <w:spacing w:beforeAutospacing="0" w:afterAutospacing="0" w:line="560" w:lineRule="exact"/>
        <w:ind w:firstLine="640" w:firstLineChars="200"/>
        <w:rPr>
          <w:rFonts w:ascii="仿宋_GB2312" w:hAnsi="????" w:eastAsia="仿宋_GB2312" w:cs="仿宋_GB2312"/>
          <w:sz w:val="32"/>
          <w:szCs w:val="32"/>
          <w:lang w:val="zh-CN"/>
        </w:rPr>
      </w:pPr>
      <w:r>
        <w:rPr>
          <w:rFonts w:hint="eastAsia" w:ascii="仿宋_GB2312" w:hAnsi="仿宋_GB2312" w:eastAsia="仿宋_GB2312" w:cs="仿宋_GB2312"/>
          <w:color w:val="000000"/>
          <w:sz w:val="32"/>
          <w:szCs w:val="32"/>
        </w:rPr>
        <w:t>根据国家、省有关要求，结合青岛实际，经研究决定，修订、增加、删除部分医疗服务项目价格</w:t>
      </w:r>
      <w:r>
        <w:rPr>
          <w:rFonts w:hint="eastAsia" w:ascii="仿宋_GB2312" w:hAnsi="仿宋_GB2312" w:eastAsia="仿宋_GB2312" w:cs="仿宋_GB2312"/>
          <w:color w:val="000000"/>
          <w:sz w:val="32"/>
          <w:szCs w:val="32"/>
          <w:lang w:val="zh-CN"/>
        </w:rPr>
        <w:t>（具体见附件</w:t>
      </w:r>
      <w:r>
        <w:rPr>
          <w:rFonts w:hint="eastAsia" w:ascii="仿宋_GB2312" w:hAnsi="????" w:eastAsia="仿宋_GB2312" w:cs="仿宋_GB2312"/>
          <w:sz w:val="32"/>
          <w:szCs w:val="32"/>
          <w:lang w:val="zh-CN"/>
        </w:rPr>
        <w:t>）。现印发给你们，并就相关事项通知如下，请一并遵照执行。</w:t>
      </w:r>
    </w:p>
    <w:p>
      <w:pPr>
        <w:spacing w:line="560" w:lineRule="exact"/>
        <w:ind w:firstLine="640" w:firstLineChars="200"/>
        <w:jc w:val="left"/>
        <w:rPr>
          <w:rFonts w:ascii="仿宋_GB2312" w:hAnsi="仿宋" w:eastAsia="仿宋_GB2312" w:cs="仿宋"/>
          <w:szCs w:val="32"/>
        </w:rPr>
      </w:pPr>
      <w:r>
        <w:rPr>
          <w:rFonts w:hint="eastAsia" w:ascii="仿宋_GB2312" w:hAnsi="仿宋" w:eastAsia="仿宋_GB2312" w:cs="仿宋"/>
          <w:szCs w:val="32"/>
        </w:rPr>
        <w:t>一、本次增加医疗服务项目19条，修订医疗服务项目</w:t>
      </w:r>
      <w:r>
        <w:rPr>
          <w:rFonts w:ascii="仿宋_GB2312" w:hAnsi="仿宋" w:eastAsia="仿宋_GB2312" w:cs="仿宋"/>
          <w:szCs w:val="32"/>
        </w:rPr>
        <w:t>1</w:t>
      </w:r>
      <w:r>
        <w:rPr>
          <w:rFonts w:hint="eastAsia" w:ascii="仿宋_GB2312" w:hAnsi="仿宋" w:eastAsia="仿宋_GB2312" w:cs="仿宋"/>
          <w:szCs w:val="32"/>
        </w:rPr>
        <w:t>条，</w:t>
      </w:r>
      <w:r>
        <w:rPr>
          <w:rFonts w:hint="eastAsia" w:ascii="仿宋_GB2312" w:hAnsi="仿宋" w:eastAsia="仿宋_GB2312"/>
        </w:rPr>
        <w:t>删除</w:t>
      </w:r>
      <w:r>
        <w:rPr>
          <w:rFonts w:hint="eastAsia" w:ascii="仿宋_GB2312" w:hAnsi="仿宋" w:eastAsia="仿宋_GB2312" w:cs="仿宋"/>
          <w:szCs w:val="32"/>
        </w:rPr>
        <w:t>医疗服务项目17条</w:t>
      </w:r>
      <w:r>
        <w:rPr>
          <w:rFonts w:hint="eastAsia" w:ascii="仿宋_GB2312" w:hAnsi="仿宋" w:eastAsia="仿宋_GB2312"/>
        </w:rPr>
        <w:t>。</w:t>
      </w:r>
    </w:p>
    <w:p>
      <w:pPr>
        <w:spacing w:line="560" w:lineRule="exact"/>
        <w:ind w:firstLine="600"/>
        <w:jc w:val="left"/>
        <w:rPr>
          <w:rFonts w:ascii="仿宋_GB2312" w:hAnsi="仿宋" w:eastAsia="仿宋_GB2312" w:cs="仿宋"/>
          <w:szCs w:val="32"/>
        </w:rPr>
      </w:pPr>
      <w:r>
        <w:rPr>
          <w:rFonts w:hint="eastAsia" w:ascii="仿宋_GB2312" w:hAnsi="仿宋" w:eastAsia="仿宋_GB2312" w:cs="仿宋"/>
          <w:szCs w:val="32"/>
        </w:rPr>
        <w:t>二、各医疗机构收到本通知后，应认真组织相关人员及时做好本次医疗服务项目价格的调整和公示工作。如发现问题，请及时上报市医疗保障局。</w:t>
      </w:r>
    </w:p>
    <w:p>
      <w:pPr>
        <w:spacing w:line="560" w:lineRule="exact"/>
        <w:ind w:firstLine="640" w:firstLineChars="200"/>
        <w:jc w:val="left"/>
        <w:rPr>
          <w:rFonts w:ascii="仿宋_GB2312" w:hAnsi="仿宋" w:eastAsia="仿宋_GB2312" w:cs="仿宋"/>
          <w:szCs w:val="32"/>
        </w:rPr>
      </w:pPr>
      <w:r>
        <w:rPr>
          <w:rFonts w:hint="eastAsia" w:ascii="仿宋_GB2312" w:hAnsi="仿宋" w:eastAsia="仿宋_GB2312" w:cs="仿宋"/>
          <w:szCs w:val="32"/>
          <w:lang w:eastAsia="zh-CN"/>
        </w:rPr>
        <w:t>三</w:t>
      </w:r>
      <w:r>
        <w:rPr>
          <w:rFonts w:hint="eastAsia" w:ascii="仿宋_GB2312" w:hAnsi="仿宋" w:eastAsia="仿宋_GB2312" w:cs="仿宋"/>
          <w:szCs w:val="32"/>
        </w:rPr>
        <w:t>、本通知自2</w:t>
      </w:r>
      <w:r>
        <w:rPr>
          <w:rFonts w:ascii="仿宋_GB2312" w:hAnsi="仿宋" w:eastAsia="仿宋_GB2312" w:cs="仿宋"/>
          <w:szCs w:val="32"/>
        </w:rPr>
        <w:t>022</w:t>
      </w:r>
      <w:r>
        <w:rPr>
          <w:rFonts w:hint="eastAsia" w:ascii="仿宋_GB2312" w:hAnsi="仿宋" w:eastAsia="仿宋_GB2312" w:cs="仿宋"/>
          <w:szCs w:val="32"/>
        </w:rPr>
        <w:t>年1</w:t>
      </w:r>
      <w:r>
        <w:rPr>
          <w:rFonts w:hint="default" w:ascii="仿宋_GB2312" w:hAnsi="仿宋" w:eastAsia="仿宋_GB2312" w:cs="仿宋"/>
          <w:szCs w:val="32"/>
          <w:lang w:val="en"/>
        </w:rPr>
        <w:t>1</w:t>
      </w:r>
      <w:r>
        <w:rPr>
          <w:rFonts w:hint="eastAsia" w:ascii="仿宋_GB2312" w:hAnsi="仿宋" w:eastAsia="仿宋_GB2312" w:cs="仿宋"/>
          <w:szCs w:val="32"/>
        </w:rPr>
        <w:t>月</w:t>
      </w:r>
      <w:r>
        <w:rPr>
          <w:rFonts w:hint="default" w:ascii="仿宋_GB2312" w:hAnsi="仿宋" w:eastAsia="仿宋_GB2312" w:cs="仿宋"/>
          <w:szCs w:val="32"/>
          <w:lang w:val="en"/>
        </w:rPr>
        <w:t>1</w:t>
      </w:r>
      <w:r>
        <w:rPr>
          <w:rFonts w:hint="eastAsia" w:ascii="仿宋_GB2312" w:hAnsi="仿宋" w:eastAsia="仿宋_GB2312" w:cs="仿宋"/>
          <w:szCs w:val="32"/>
        </w:rPr>
        <w:t>日起执行。原相关政策规定与本通知不一致的，以本通知为准。</w:t>
      </w:r>
    </w:p>
    <w:p>
      <w:pPr>
        <w:spacing w:line="560" w:lineRule="exact"/>
        <w:ind w:right="352" w:firstLine="640" w:firstLineChars="200"/>
        <w:rPr>
          <w:rFonts w:ascii="仿宋_GB2312" w:hAnsi="仿宋" w:eastAsia="仿宋_GB2312" w:cs="仿宋"/>
          <w:szCs w:val="32"/>
        </w:rPr>
      </w:pPr>
    </w:p>
    <w:p>
      <w:pPr>
        <w:spacing w:line="560" w:lineRule="exact"/>
        <w:ind w:firstLine="640" w:firstLineChars="200"/>
        <w:rPr>
          <w:rFonts w:ascii="仿宋_GB2312" w:hAnsi="仿宋" w:eastAsia="仿宋_GB2312" w:cs="仿宋"/>
          <w:spacing w:val="-16"/>
          <w:szCs w:val="32"/>
        </w:rPr>
      </w:pPr>
      <w:r>
        <w:rPr>
          <w:rFonts w:hint="eastAsia" w:ascii="仿宋_GB2312" w:hAnsi="仿宋" w:eastAsia="仿宋_GB2312" w:cs="仿宋"/>
          <w:szCs w:val="32"/>
        </w:rPr>
        <w:t>附件：</w:t>
      </w:r>
      <w:r>
        <w:rPr>
          <w:rFonts w:hint="eastAsia" w:ascii="仿宋_GB2312" w:hAnsi="仿宋" w:eastAsia="仿宋_GB2312" w:cs="仿宋"/>
          <w:spacing w:val="-16"/>
          <w:szCs w:val="32"/>
        </w:rPr>
        <w:t>部分医疗服务项目价格调整一览表</w:t>
      </w:r>
    </w:p>
    <w:p>
      <w:pPr>
        <w:spacing w:line="560" w:lineRule="exact"/>
        <w:ind w:firstLine="576" w:firstLineChars="200"/>
        <w:rPr>
          <w:rFonts w:ascii="仿宋_GB2312" w:hAnsi="仿宋" w:eastAsia="仿宋_GB2312" w:cs="仿宋"/>
          <w:spacing w:val="-16"/>
          <w:szCs w:val="32"/>
        </w:rPr>
      </w:pPr>
    </w:p>
    <w:p>
      <w:pPr>
        <w:spacing w:line="560" w:lineRule="exact"/>
        <w:ind w:firstLine="576" w:firstLineChars="200"/>
        <w:rPr>
          <w:rFonts w:ascii="仿宋_GB2312" w:hAnsi="仿宋" w:eastAsia="仿宋_GB2312" w:cs="仿宋"/>
          <w:spacing w:val="-16"/>
          <w:szCs w:val="32"/>
        </w:rPr>
      </w:pPr>
    </w:p>
    <w:p>
      <w:pPr>
        <w:spacing w:line="560" w:lineRule="exact"/>
        <w:ind w:firstLine="576" w:firstLineChars="200"/>
        <w:rPr>
          <w:rFonts w:ascii="仿宋_GB2312" w:hAnsi="仿宋" w:eastAsia="仿宋_GB2312" w:cs="仿宋"/>
          <w:spacing w:val="-16"/>
          <w:szCs w:val="32"/>
        </w:rPr>
      </w:pPr>
    </w:p>
    <w:p>
      <w:pPr>
        <w:spacing w:line="560" w:lineRule="exact"/>
        <w:jc w:val="center"/>
        <w:rPr>
          <w:rFonts w:ascii="仿宋_GB2312" w:hAnsi="仿宋" w:eastAsia="仿宋_GB2312" w:cs="仿宋"/>
          <w:bCs/>
          <w:szCs w:val="32"/>
        </w:rPr>
      </w:pPr>
      <w:r>
        <w:rPr>
          <w:rFonts w:hint="eastAsia" w:ascii="仿宋_GB2312" w:hAnsi="仿宋" w:eastAsia="仿宋_GB2312" w:cs="仿宋"/>
          <w:bCs/>
          <w:szCs w:val="32"/>
        </w:rPr>
        <w:t xml:space="preserve">                    </w:t>
      </w:r>
      <w:r>
        <w:rPr>
          <w:rFonts w:ascii="仿宋_GB2312" w:hAnsi="仿宋" w:eastAsia="仿宋_GB2312" w:cs="仿宋"/>
          <w:bCs/>
          <w:szCs w:val="32"/>
        </w:rPr>
        <w:t xml:space="preserve"> </w:t>
      </w:r>
      <w:r>
        <w:rPr>
          <w:rFonts w:hint="eastAsia" w:ascii="仿宋_GB2312" w:hAnsi="仿宋" w:eastAsia="仿宋_GB2312" w:cs="仿宋"/>
          <w:bCs/>
          <w:szCs w:val="32"/>
        </w:rPr>
        <w:t xml:space="preserve"> 青岛市医疗保障局</w:t>
      </w:r>
    </w:p>
    <w:p>
      <w:pPr>
        <w:adjustRightInd w:val="0"/>
        <w:snapToGrid w:val="0"/>
        <w:spacing w:line="560" w:lineRule="exact"/>
        <w:rPr>
          <w:rFonts w:ascii="仿宋_GB2312" w:hAnsi="宋体" w:eastAsia="仿宋_GB2312"/>
          <w:szCs w:val="32"/>
        </w:rPr>
      </w:pPr>
      <w:r>
        <w:rPr>
          <w:rFonts w:hint="eastAsia" w:ascii="仿宋_GB2312" w:hAnsi="宋体" w:eastAsia="仿宋_GB2312"/>
          <w:szCs w:val="32"/>
        </w:rPr>
        <w:t xml:space="preserve">                               2022年</w:t>
      </w:r>
      <w:r>
        <w:rPr>
          <w:rFonts w:ascii="仿宋_GB2312" w:hAnsi="宋体" w:eastAsia="仿宋_GB2312"/>
          <w:szCs w:val="32"/>
        </w:rPr>
        <w:t>10</w:t>
      </w:r>
      <w:r>
        <w:rPr>
          <w:rFonts w:hint="eastAsia" w:ascii="仿宋_GB2312" w:hAnsi="宋体" w:eastAsia="仿宋_GB2312"/>
          <w:szCs w:val="32"/>
        </w:rPr>
        <w:t>月</w:t>
      </w:r>
      <w:r>
        <w:rPr>
          <w:rFonts w:hint="default" w:ascii="仿宋_GB2312" w:hAnsi="宋体" w:eastAsia="仿宋_GB2312"/>
          <w:szCs w:val="32"/>
          <w:lang w:val="en"/>
        </w:rPr>
        <w:t>21</w:t>
      </w:r>
      <w:r>
        <w:rPr>
          <w:rFonts w:hint="eastAsia" w:ascii="仿宋_GB2312" w:hAnsi="宋体" w:eastAsia="仿宋_GB2312"/>
          <w:szCs w:val="32"/>
        </w:rPr>
        <w:t>日</w:t>
      </w:r>
    </w:p>
    <w:p>
      <w:pPr>
        <w:adjustRightInd w:val="0"/>
        <w:snapToGrid w:val="0"/>
        <w:spacing w:line="560" w:lineRule="exact"/>
        <w:rPr>
          <w:rFonts w:ascii="仿宋_GB2312" w:hAnsi="宋体" w:eastAsia="仿宋_GB2312"/>
          <w:szCs w:val="32"/>
        </w:rPr>
      </w:pPr>
    </w:p>
    <w:p>
      <w:pPr>
        <w:adjustRightInd w:val="0"/>
        <w:snapToGrid w:val="0"/>
        <w:spacing w:line="560" w:lineRule="exact"/>
        <w:rPr>
          <w:rFonts w:ascii="仿宋_GB2312" w:hAnsi="宋体" w:eastAsia="仿宋_GB2312"/>
          <w:szCs w:val="32"/>
        </w:rPr>
      </w:pPr>
    </w:p>
    <w:p>
      <w:pPr>
        <w:adjustRightInd w:val="0"/>
        <w:snapToGrid w:val="0"/>
        <w:spacing w:line="560" w:lineRule="exact"/>
        <w:ind w:firstLine="480" w:firstLineChars="150"/>
        <w:rPr>
          <w:rFonts w:ascii="仿宋_GB2312" w:hAnsi="宋体" w:eastAsia="仿宋_GB2312"/>
          <w:szCs w:val="32"/>
        </w:rPr>
      </w:pPr>
      <w:r>
        <w:rPr>
          <w:rFonts w:hint="eastAsia" w:ascii="仿宋_GB2312" w:hAnsi="宋体" w:eastAsia="仿宋_GB2312"/>
          <w:szCs w:val="32"/>
        </w:rPr>
        <w:t>（此件公开发布）</w:t>
      </w:r>
    </w:p>
    <w:p>
      <w:pPr>
        <w:adjustRightInd w:val="0"/>
        <w:snapToGrid w:val="0"/>
        <w:spacing w:line="560" w:lineRule="exact"/>
        <w:rPr>
          <w:rFonts w:ascii="仿宋_GB2312" w:hAnsi="宋体" w:eastAsia="仿宋_GB2312"/>
          <w:szCs w:val="32"/>
        </w:rPr>
      </w:pPr>
    </w:p>
    <w:p>
      <w:pPr>
        <w:adjustRightInd w:val="0"/>
        <w:snapToGrid w:val="0"/>
        <w:spacing w:line="560" w:lineRule="exact"/>
        <w:rPr>
          <w:rFonts w:ascii="仿宋_GB2312" w:hAnsi="宋体" w:eastAsia="仿宋_GB2312"/>
          <w:szCs w:val="32"/>
        </w:rPr>
      </w:pPr>
    </w:p>
    <w:p>
      <w:pPr>
        <w:adjustRightInd w:val="0"/>
        <w:snapToGrid w:val="0"/>
        <w:spacing w:line="560" w:lineRule="exact"/>
        <w:rPr>
          <w:rFonts w:ascii="仿宋_GB2312" w:hAnsi="宋体" w:eastAsia="仿宋_GB2312"/>
          <w:szCs w:val="32"/>
        </w:rPr>
      </w:pPr>
    </w:p>
    <w:p>
      <w:pPr>
        <w:adjustRightInd w:val="0"/>
        <w:snapToGrid w:val="0"/>
        <w:spacing w:line="560" w:lineRule="exact"/>
        <w:rPr>
          <w:rFonts w:ascii="仿宋_GB2312" w:hAnsi="宋体" w:eastAsia="仿宋_GB2312"/>
          <w:szCs w:val="32"/>
        </w:rPr>
      </w:pPr>
    </w:p>
    <w:p>
      <w:pPr>
        <w:adjustRightInd w:val="0"/>
        <w:snapToGrid w:val="0"/>
        <w:spacing w:line="560" w:lineRule="exact"/>
        <w:rPr>
          <w:rFonts w:ascii="仿宋_GB2312" w:hAnsi="宋体" w:eastAsia="仿宋_GB2312"/>
          <w:szCs w:val="32"/>
        </w:rPr>
      </w:pPr>
    </w:p>
    <w:p>
      <w:pPr>
        <w:adjustRightInd w:val="0"/>
        <w:snapToGrid w:val="0"/>
        <w:spacing w:line="560" w:lineRule="exact"/>
        <w:rPr>
          <w:rFonts w:ascii="仿宋_GB2312" w:hAnsi="宋体" w:eastAsia="仿宋_GB2312"/>
          <w:szCs w:val="32"/>
        </w:rPr>
      </w:pPr>
    </w:p>
    <w:p>
      <w:pPr>
        <w:adjustRightInd w:val="0"/>
        <w:snapToGrid w:val="0"/>
        <w:spacing w:line="560" w:lineRule="exact"/>
        <w:rPr>
          <w:rFonts w:ascii="仿宋_GB2312" w:hAnsi="宋体" w:eastAsia="仿宋_GB2312"/>
          <w:szCs w:val="32"/>
        </w:rPr>
      </w:pPr>
    </w:p>
    <w:p>
      <w:pPr>
        <w:adjustRightInd w:val="0"/>
        <w:snapToGrid w:val="0"/>
        <w:spacing w:line="560" w:lineRule="exact"/>
        <w:rPr>
          <w:rFonts w:ascii="仿宋_GB2312" w:hAnsi="宋体" w:eastAsia="仿宋_GB2312"/>
          <w:szCs w:val="32"/>
        </w:rPr>
      </w:pPr>
    </w:p>
    <w:p>
      <w:pPr>
        <w:adjustRightInd w:val="0"/>
        <w:snapToGrid w:val="0"/>
        <w:spacing w:line="560" w:lineRule="exact"/>
        <w:rPr>
          <w:rFonts w:ascii="仿宋_GB2312" w:hAnsi="宋体" w:eastAsia="仿宋_GB2312"/>
          <w:szCs w:val="32"/>
        </w:rPr>
      </w:pPr>
    </w:p>
    <w:p>
      <w:pPr>
        <w:adjustRightInd w:val="0"/>
        <w:snapToGrid w:val="0"/>
        <w:spacing w:line="560" w:lineRule="exact"/>
        <w:rPr>
          <w:rFonts w:ascii="仿宋_GB2312" w:hAnsi="宋体" w:eastAsia="仿宋_GB2312"/>
          <w:szCs w:val="32"/>
        </w:rPr>
      </w:pPr>
    </w:p>
    <w:p>
      <w:pPr>
        <w:spacing w:line="540" w:lineRule="exact"/>
        <w:ind w:firstLine="320" w:firstLineChars="100"/>
        <w:rPr>
          <w:rFonts w:ascii="仿宋_GB2312" w:hAnsi="宋体" w:eastAsia="仿宋_GB2312" w:cs="仿宋_GB2312"/>
          <w:color w:val="000000"/>
          <w:sz w:val="28"/>
          <w:szCs w:val="28"/>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-54610</wp:posOffset>
                </wp:positionH>
                <wp:positionV relativeFrom="paragraph">
                  <wp:posOffset>55245</wp:posOffset>
                </wp:positionV>
                <wp:extent cx="5646420" cy="635"/>
                <wp:effectExtent l="0" t="0" r="11430" b="37465"/>
                <wp:wrapTopAndBottom/>
                <wp:docPr id="4" name="直接连接符 4"/>
                <wp:cNvGraphicFramePr/>
                <a:graphic xmlns:a="http://schemas.openxmlformats.org/drawingml/2006/main">
                  <a:graphicData uri="http://schemas.microsoft.com/office/word/2010/wordprocessingShape">
                    <wps:wsp>
                      <wps:cNvCnPr>
                        <a:cxnSpLocks noChangeShapeType="true"/>
                      </wps:cNvCnPr>
                      <wps:spPr bwMode="auto">
                        <a:xfrm>
                          <a:off x="0" y="0"/>
                          <a:ext cx="5646420" cy="635"/>
                        </a:xfrm>
                        <a:prstGeom prst="line">
                          <a:avLst/>
                        </a:prstGeom>
                        <a:noFill/>
                        <a:ln w="9000">
                          <a:solidFill>
                            <a:srgbClr val="000000"/>
                          </a:solidFill>
                          <a:round/>
                        </a:ln>
                      </wps:spPr>
                      <wps:bodyPr/>
                    </wps:wsp>
                  </a:graphicData>
                </a:graphic>
              </wp:anchor>
            </w:drawing>
          </mc:Choice>
          <mc:Fallback>
            <w:pict>
              <v:line id="_x0000_s1026" o:spid="_x0000_s1026" o:spt="20" style="position:absolute;left:0pt;margin-left:-4.3pt;margin-top:4.35pt;height:0.05pt;width:444.6pt;mso-wrap-distance-bottom:0pt;mso-wrap-distance-top:0pt;z-index:251661312;mso-width-relative:page;mso-height-relative:page;" filled="f" stroked="t" coordsize="21600,21600" o:gfxdata="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CfeVhTTAAAABgEAAA8A&#10;AAAAAAAAAQAgAAAAOAAAAGRycy9kb3ducmV2LnhtbFBLAQIUABQAAAAIAIdO4kDCWetGzQEAAGED&#10;AAAOAAAAAAAAAAEAIAAAADgBAABkcnMvZTJvRG9jLnhtbFBLBQYAAAAABgAGAFkBAAB3BQAAAAA=&#10;">
                <v:fill on="f" focussize="0,0"/>
                <v:stroke weight="0.708661417322835pt" color="#000000" joinstyle="round"/>
                <v:imagedata o:title=""/>
                <o:lock v:ext="edit" aspectratio="f"/>
                <w10:wrap type="topAndBottom"/>
              </v:lin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-52705</wp:posOffset>
                </wp:positionH>
                <wp:positionV relativeFrom="paragraph">
                  <wp:posOffset>503555</wp:posOffset>
                </wp:positionV>
                <wp:extent cx="5646420" cy="635"/>
                <wp:effectExtent l="0" t="0" r="11430" b="37465"/>
                <wp:wrapTopAndBottom/>
                <wp:docPr id="3"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5646420" cy="635"/>
                        </a:xfrm>
                        <a:prstGeom prst="line">
                          <a:avLst/>
                        </a:prstGeom>
                        <a:noFill/>
                        <a:ln w="12600">
                          <a:solidFill>
                            <a:srgbClr val="000000"/>
                          </a:solidFill>
                          <a:round/>
                        </a:ln>
                      </wps:spPr>
                      <wps:bodyPr/>
                    </wps:wsp>
                  </a:graphicData>
                </a:graphic>
              </wp:anchor>
            </w:drawing>
          </mc:Choice>
          <mc:Fallback>
            <w:pict>
              <v:line id="_x0000_s1026" o:spid="_x0000_s1026" o:spt="20" style="position:absolute;left:0pt;margin-left:-4.15pt;margin-top:39.65pt;height:0.05pt;width:444.6pt;mso-wrap-distance-bottom:0pt;mso-wrap-distance-top:0pt;z-index:251662336;mso-width-relative:page;mso-height-relative:page;" filled="f" stroked="t" coordsize="21600,21600" o:gfxdata="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YDY2z9cAAAAI&#10;AQAADwAAAAAAAAABACAAAAA4AAAAZHJzL2Rvd25yZXYueG1sUEsBAhQAFAAAAAgAh07iQLh4Rr/O&#10;AQAAYgMAAA4AAAAAAAAAAQAgAAAAPAEAAGRycy9lMm9Eb2MueG1sUEsFBgAAAAAGAAYAWQEAAHwF&#10;AAAAAA==&#10;">
                <v:fill on="f" focussize="0,0"/>
                <v:stroke weight="0.992125984251969pt" color="#000000" joinstyle="round"/>
                <v:imagedata o:title=""/>
                <o:lock v:ext="edit" aspectratio="f"/>
                <w10:wrap type="topAndBottom"/>
              </v:line>
            </w:pict>
          </mc:Fallback>
        </mc:AlternateContent>
      </w:r>
      <w:r>
        <w:rPr>
          <w:rFonts w:hint="eastAsia" w:ascii="仿宋_GB2312" w:hAnsi="宋体" w:eastAsia="仿宋_GB2312" w:cs="仿宋_GB2312"/>
          <w:color w:val="000000"/>
          <w:sz w:val="28"/>
          <w:szCs w:val="28"/>
        </w:rPr>
        <w:t>青岛市医疗保障局办公室                 2022年10月</w:t>
      </w:r>
      <w:r>
        <w:rPr>
          <w:rFonts w:hint="default" w:ascii="仿宋_GB2312" w:hAnsi="宋体" w:eastAsia="仿宋_GB2312" w:cs="仿宋_GB2312"/>
          <w:color w:val="000000"/>
          <w:sz w:val="28"/>
          <w:szCs w:val="28"/>
          <w:lang w:val="en"/>
        </w:rPr>
        <w:t>21</w:t>
      </w:r>
      <w:r>
        <w:rPr>
          <w:rFonts w:hint="eastAsia" w:ascii="仿宋_GB2312" w:hAnsi="宋体" w:eastAsia="仿宋_GB2312" w:cs="仿宋_GB2312"/>
          <w:color w:val="000000"/>
          <w:sz w:val="28"/>
          <w:szCs w:val="28"/>
        </w:rPr>
        <w:t>日印发</w:t>
      </w:r>
    </w:p>
    <w:p>
      <w:pPr>
        <w:spacing w:line="540" w:lineRule="exact"/>
        <w:ind w:firstLine="280" w:firstLineChars="100"/>
        <w:rPr>
          <w:rFonts w:ascii="仿宋_GB2312" w:hAnsi="宋体" w:eastAsia="仿宋_GB2312" w:cs="仿宋_GB2312"/>
          <w:color w:val="000000"/>
          <w:sz w:val="28"/>
          <w:szCs w:val="28"/>
        </w:rPr>
        <w:sectPr>
          <w:footerReference r:id="rId3" w:type="default"/>
          <w:pgSz w:w="11906" w:h="16838"/>
          <w:pgMar w:top="1701" w:right="1474" w:bottom="1985" w:left="1588" w:header="851" w:footer="992" w:gutter="0"/>
          <w:pgNumType w:fmt="numberInDash"/>
          <w:cols w:space="720" w:num="1"/>
          <w:docGrid w:type="lines" w:linePitch="435" w:charSpace="0"/>
        </w:sectPr>
      </w:pPr>
    </w:p>
    <w:tbl>
      <w:tblPr>
        <w:tblStyle w:val="8"/>
        <w:tblW w:w="13179" w:type="dxa"/>
        <w:tblInd w:w="93" w:type="dxa"/>
        <w:tblLayout w:type="fixed"/>
        <w:tblCellMar>
          <w:top w:w="0" w:type="dxa"/>
          <w:left w:w="108" w:type="dxa"/>
          <w:bottom w:w="0" w:type="dxa"/>
          <w:right w:w="108" w:type="dxa"/>
        </w:tblCellMar>
      </w:tblPr>
      <w:tblGrid>
        <w:gridCol w:w="960"/>
        <w:gridCol w:w="540"/>
        <w:gridCol w:w="1096"/>
        <w:gridCol w:w="4767"/>
        <w:gridCol w:w="555"/>
        <w:gridCol w:w="510"/>
        <w:gridCol w:w="536"/>
        <w:gridCol w:w="536"/>
        <w:gridCol w:w="542"/>
        <w:gridCol w:w="638"/>
        <w:gridCol w:w="426"/>
        <w:gridCol w:w="567"/>
        <w:gridCol w:w="425"/>
        <w:gridCol w:w="567"/>
        <w:gridCol w:w="514"/>
      </w:tblGrid>
      <w:tr>
        <w:tblPrEx>
          <w:tblCellMar>
            <w:top w:w="0" w:type="dxa"/>
            <w:left w:w="108" w:type="dxa"/>
            <w:bottom w:w="0" w:type="dxa"/>
            <w:right w:w="108" w:type="dxa"/>
          </w:tblCellMar>
        </w:tblPrEx>
        <w:trPr>
          <w:trHeight w:val="420" w:hRule="atLeast"/>
        </w:trPr>
        <w:tc>
          <w:tcPr>
            <w:tcW w:w="13179" w:type="dxa"/>
            <w:gridSpan w:val="15"/>
            <w:tcBorders>
              <w:top w:val="nil"/>
              <w:left w:val="nil"/>
              <w:bottom w:val="nil"/>
              <w:right w:val="nil"/>
            </w:tcBorders>
            <w:shd w:val="clear" w:color="auto" w:fill="FFFFFF"/>
            <w:noWrap/>
            <w:vAlign w:val="center"/>
          </w:tcPr>
          <w:p>
            <w:pPr>
              <w:widowControl/>
              <w:jc w:val="left"/>
              <w:textAlignment w:val="center"/>
              <w:rPr>
                <w:rFonts w:ascii="黑体" w:hAnsi="宋体" w:eastAsia="黑体" w:cs="黑体"/>
                <w:color w:val="000000"/>
                <w:szCs w:val="32"/>
              </w:rPr>
            </w:pPr>
            <w:r>
              <w:rPr>
                <w:rFonts w:ascii="黑体" w:hAnsi="宋体" w:eastAsia="黑体" w:cs="黑体"/>
                <w:color w:val="000000"/>
                <w:kern w:val="0"/>
                <w:szCs w:val="32"/>
                <w:lang w:bidi="ar"/>
              </w:rPr>
              <w:t>附件</w:t>
            </w:r>
          </w:p>
        </w:tc>
      </w:tr>
      <w:tr>
        <w:tblPrEx>
          <w:tblCellMar>
            <w:top w:w="0" w:type="dxa"/>
            <w:left w:w="108" w:type="dxa"/>
            <w:bottom w:w="0" w:type="dxa"/>
            <w:right w:w="108" w:type="dxa"/>
          </w:tblCellMar>
        </w:tblPrEx>
        <w:trPr>
          <w:trHeight w:val="540" w:hRule="atLeast"/>
        </w:trPr>
        <w:tc>
          <w:tcPr>
            <w:tcW w:w="13179" w:type="dxa"/>
            <w:gridSpan w:val="15"/>
            <w:tcBorders>
              <w:top w:val="nil"/>
              <w:left w:val="nil"/>
              <w:bottom w:val="nil"/>
              <w:right w:val="nil"/>
            </w:tcBorders>
            <w:shd w:val="clear" w:color="auto" w:fill="FFFFFF"/>
            <w:noWrap/>
            <w:vAlign w:val="center"/>
          </w:tcPr>
          <w:p>
            <w:pPr>
              <w:widowControl/>
              <w:spacing w:line="56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部分医疗服务项目价格调整一览表</w:t>
            </w:r>
          </w:p>
          <w:p>
            <w:pPr>
              <w:widowControl/>
              <w:spacing w:line="200" w:lineRule="exact"/>
              <w:jc w:val="center"/>
              <w:textAlignment w:val="center"/>
              <w:rPr>
                <w:rFonts w:ascii="宋体" w:hAnsi="宋体" w:cs="宋体"/>
                <w:color w:val="000000"/>
                <w:kern w:val="0"/>
                <w:sz w:val="44"/>
                <w:szCs w:val="44"/>
                <w:lang w:bidi="ar"/>
              </w:rPr>
            </w:pPr>
          </w:p>
        </w:tc>
      </w:tr>
      <w:tr>
        <w:tblPrEx>
          <w:tblCellMar>
            <w:top w:w="0" w:type="dxa"/>
            <w:left w:w="108" w:type="dxa"/>
            <w:bottom w:w="0" w:type="dxa"/>
            <w:right w:w="108" w:type="dxa"/>
          </w:tblCellMar>
        </w:tblPrEx>
        <w:trPr>
          <w:trHeight w:val="420" w:hRule="atLeast"/>
        </w:trPr>
        <w:tc>
          <w:tcPr>
            <w:tcW w:w="960"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项目编码</w:t>
            </w:r>
          </w:p>
        </w:tc>
        <w:tc>
          <w:tcPr>
            <w:tcW w:w="540"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财务编码</w:t>
            </w:r>
          </w:p>
        </w:tc>
        <w:tc>
          <w:tcPr>
            <w:tcW w:w="1096"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项目名称</w:t>
            </w:r>
          </w:p>
        </w:tc>
        <w:tc>
          <w:tcPr>
            <w:tcW w:w="4767"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项目内涵</w:t>
            </w:r>
          </w:p>
        </w:tc>
        <w:tc>
          <w:tcPr>
            <w:tcW w:w="555"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除外内容</w:t>
            </w:r>
          </w:p>
        </w:tc>
        <w:tc>
          <w:tcPr>
            <w:tcW w:w="510"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计价单位</w:t>
            </w:r>
          </w:p>
        </w:tc>
        <w:tc>
          <w:tcPr>
            <w:tcW w:w="16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价格</w:t>
            </w:r>
          </w:p>
        </w:tc>
        <w:tc>
          <w:tcPr>
            <w:tcW w:w="638"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计价说明</w:t>
            </w:r>
          </w:p>
        </w:tc>
        <w:tc>
          <w:tcPr>
            <w:tcW w:w="198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统筹金支付范围</w:t>
            </w:r>
          </w:p>
        </w:tc>
        <w:tc>
          <w:tcPr>
            <w:tcW w:w="514"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200" w:lineRule="exact"/>
              <w:jc w:val="center"/>
              <w:textAlignment w:val="center"/>
              <w:rPr>
                <w:rFonts w:ascii="黑体" w:hAnsi="宋体" w:eastAsia="黑体" w:cs="黑体"/>
                <w:color w:val="000000"/>
                <w:sz w:val="16"/>
                <w:szCs w:val="16"/>
              </w:rPr>
            </w:pPr>
            <w:r>
              <w:rPr>
                <w:rFonts w:ascii="黑体" w:hAnsi="宋体" w:eastAsia="黑体" w:cs="黑体"/>
                <w:color w:val="000000"/>
                <w:kern w:val="0"/>
                <w:sz w:val="16"/>
                <w:szCs w:val="16"/>
                <w:lang w:bidi="ar"/>
              </w:rPr>
              <w:t>说明</w:t>
            </w:r>
          </w:p>
        </w:tc>
      </w:tr>
      <w:tr>
        <w:tblPrEx>
          <w:tblCellMar>
            <w:top w:w="0" w:type="dxa"/>
            <w:left w:w="108" w:type="dxa"/>
            <w:bottom w:w="0" w:type="dxa"/>
            <w:right w:w="108" w:type="dxa"/>
          </w:tblCellMar>
        </w:tblPrEx>
        <w:trPr>
          <w:trHeight w:val="840" w:hRule="atLeast"/>
        </w:trPr>
        <w:tc>
          <w:tcPr>
            <w:tcW w:w="960" w:type="dxa"/>
            <w:vMerge w:val="continue"/>
            <w:tcBorders>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b/>
                <w:color w:val="000000"/>
                <w:sz w:val="16"/>
                <w:szCs w:val="16"/>
              </w:rPr>
            </w:pPr>
          </w:p>
        </w:tc>
        <w:tc>
          <w:tcPr>
            <w:tcW w:w="540" w:type="dxa"/>
            <w:vMerge w:val="continue"/>
            <w:tcBorders>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b/>
                <w:color w:val="000000"/>
                <w:sz w:val="16"/>
                <w:szCs w:val="16"/>
              </w:rPr>
            </w:pPr>
          </w:p>
        </w:tc>
        <w:tc>
          <w:tcPr>
            <w:tcW w:w="1096" w:type="dxa"/>
            <w:vMerge w:val="continue"/>
            <w:tcBorders>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b/>
                <w:color w:val="000000"/>
                <w:sz w:val="16"/>
                <w:szCs w:val="16"/>
              </w:rPr>
            </w:pPr>
          </w:p>
        </w:tc>
        <w:tc>
          <w:tcPr>
            <w:tcW w:w="4767" w:type="dxa"/>
            <w:vMerge w:val="continue"/>
            <w:tcBorders>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b/>
                <w:color w:val="000000"/>
                <w:sz w:val="16"/>
                <w:szCs w:val="16"/>
              </w:rPr>
            </w:pPr>
          </w:p>
        </w:tc>
        <w:tc>
          <w:tcPr>
            <w:tcW w:w="555" w:type="dxa"/>
            <w:vMerge w:val="continue"/>
            <w:tcBorders>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b/>
                <w:color w:val="000000"/>
                <w:sz w:val="16"/>
                <w:szCs w:val="16"/>
              </w:rPr>
            </w:pPr>
          </w:p>
        </w:tc>
        <w:tc>
          <w:tcPr>
            <w:tcW w:w="510" w:type="dxa"/>
            <w:vMerge w:val="continue"/>
            <w:tcBorders>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b/>
                <w:color w:val="000000"/>
                <w:sz w:val="16"/>
                <w:szCs w:val="16"/>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三级</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二级</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hint="eastAsia" w:ascii="宋体" w:hAnsi="宋体" w:cs="宋体"/>
                <w:b/>
                <w:color w:val="000000"/>
                <w:kern w:val="0"/>
                <w:sz w:val="16"/>
                <w:szCs w:val="16"/>
                <w:lang w:bidi="ar"/>
              </w:rPr>
            </w:pPr>
            <w:r>
              <w:rPr>
                <w:rFonts w:hint="eastAsia" w:ascii="宋体" w:hAnsi="宋体" w:cs="宋体"/>
                <w:b/>
                <w:color w:val="000000"/>
                <w:kern w:val="0"/>
                <w:sz w:val="16"/>
                <w:szCs w:val="16"/>
                <w:lang w:bidi="ar"/>
              </w:rPr>
              <w:t>一</w:t>
            </w:r>
          </w:p>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级</w:t>
            </w:r>
          </w:p>
        </w:tc>
        <w:tc>
          <w:tcPr>
            <w:tcW w:w="638" w:type="dxa"/>
            <w:vMerge w:val="continue"/>
            <w:tcBorders>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b/>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范围内</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进统筹前自负比例</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范围外</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最高费用限额</w:t>
            </w:r>
          </w:p>
        </w:tc>
        <w:tc>
          <w:tcPr>
            <w:tcW w:w="514" w:type="dxa"/>
            <w:vMerge w:val="continue"/>
            <w:tcBorders>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黑体" w:hAnsi="宋体" w:eastAsia="黑体" w:cs="黑体"/>
                <w:color w:val="000000"/>
                <w:sz w:val="16"/>
                <w:szCs w:val="16"/>
              </w:rPr>
            </w:pPr>
          </w:p>
        </w:tc>
      </w:tr>
      <w:tr>
        <w:tblPrEx>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kern w:val="0"/>
                <w:sz w:val="16"/>
                <w:szCs w:val="16"/>
                <w:lang w:bidi="ar"/>
              </w:rPr>
            </w:pPr>
            <w:r>
              <w:rPr>
                <w:rFonts w:hint="eastAsia"/>
                <w:b/>
                <w:bCs/>
                <w:sz w:val="16"/>
                <w:szCs w:val="16"/>
              </w:rPr>
              <w:t>2306</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kern w:val="0"/>
                <w:sz w:val="16"/>
                <w:szCs w:val="16"/>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kern w:val="0"/>
                <w:sz w:val="16"/>
                <w:szCs w:val="16"/>
                <w:lang w:bidi="ar"/>
              </w:rPr>
            </w:pPr>
            <w:r>
              <w:rPr>
                <w:rFonts w:hint="eastAsia"/>
                <w:b/>
                <w:bCs/>
                <w:sz w:val="16"/>
                <w:szCs w:val="16"/>
              </w:rPr>
              <w:t>6. 核素内照射治疗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kern w:val="0"/>
                <w:sz w:val="16"/>
                <w:szCs w:val="16"/>
                <w:lang w:bidi="ar"/>
              </w:rPr>
            </w:pPr>
            <w:r>
              <w:rPr>
                <w:rFonts w:hint="eastAsia"/>
                <w:sz w:val="16"/>
                <w:szCs w:val="16"/>
              </w:rPr>
              <w:t>指开放性核素内照射治疗，含临床和介入性操作、放射性核素制备与活度的标定、放射性废物（包括病人排泄物）处理及稀释储存、防护装置的使用，不含特殊防护病房住院费</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sz w:val="16"/>
                <w:szCs w:val="16"/>
              </w:rPr>
              <w:t>一次性导管</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kern w:val="0"/>
                <w:sz w:val="16"/>
                <w:szCs w:val="16"/>
                <w:lang w:bidi="ar"/>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kern w:val="0"/>
                <w:sz w:val="16"/>
                <w:szCs w:val="16"/>
                <w:lang w:bidi="ar"/>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kern w:val="0"/>
                <w:sz w:val="16"/>
                <w:szCs w:val="16"/>
                <w:lang w:bidi="ar"/>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kern w:val="0"/>
                <w:sz w:val="16"/>
                <w:szCs w:val="16"/>
                <w:lang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kern w:val="0"/>
                <w:sz w:val="16"/>
                <w:szCs w:val="16"/>
                <w:lang w:bidi="ar"/>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230600001</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131碘-甲亢治疗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含药物</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毫居里</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6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230600002</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131碘-功能自主性甲状腺瘤治疗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含药物</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毫居里</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6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230600003</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131碘-甲状腺癌转移灶治疗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含药物</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毫居里</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110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110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230600004</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131碘-肿瘤抗体放免治疗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含药物</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毫居里</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230600005</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32磷-胶体腔内治疗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药物</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230600006</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32磷-血液病治疗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药物</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260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260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00" w:lineRule="exact"/>
              <w:jc w:val="center"/>
              <w:textAlignment w:val="center"/>
              <w:rPr>
                <w:rFonts w:ascii="宋体" w:hAnsi="宋体" w:eastAsia="宋体" w:cs="宋体"/>
                <w:color w:val="000000"/>
                <w:kern w:val="2"/>
                <w:sz w:val="16"/>
                <w:szCs w:val="16"/>
                <w:lang w:val="en-US" w:eastAsia="zh-CN" w:bidi="ar-SA"/>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230600007</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32磷-微球介入治疗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药物</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500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500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00" w:lineRule="exact"/>
              <w:jc w:val="center"/>
              <w:textAlignment w:val="center"/>
              <w:rPr>
                <w:rFonts w:ascii="宋体" w:hAnsi="宋体" w:eastAsia="宋体" w:cs="宋体"/>
                <w:color w:val="000000"/>
                <w:kern w:val="2"/>
                <w:sz w:val="16"/>
                <w:szCs w:val="16"/>
                <w:lang w:val="en-US" w:eastAsia="zh-CN" w:bidi="ar-SA"/>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230600008</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90钇-微球介入治疗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药物</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500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500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230600009</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89锶-骨转移瘤治疗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药物</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280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280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6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230600010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153钐-EDTMP骨转移瘤治疗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药物</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280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280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230600011</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188铼-HEDP骨转移瘤治疗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药物</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280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280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230600012</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131碘-MIBG恶性肿瘤治疗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含药物</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毫居里</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280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280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230600013</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核素组织间介入治疗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药物</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400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400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hint="eastAsia" w:ascii="宋体" w:hAnsi="宋体" w:eastAsia="宋体" w:cs="宋体"/>
                <w:color w:val="000000"/>
                <w:sz w:val="16"/>
                <w:szCs w:val="16"/>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hint="default" w:ascii="宋体" w:hAnsi="宋体" w:cs="宋体"/>
                <w:color w:val="000000"/>
                <w:sz w:val="16"/>
                <w:szCs w:val="16"/>
                <w:lang w:val="en-US"/>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230600014</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核素血管内介入治疗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药物</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500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500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230600015</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99锝（云克）治疗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药物</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230600016</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90锶贴敷治疗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药物</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60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60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10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230600017</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组织间粒子植入术</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包括放射性粒子植入术、化疗药物粒子植入术</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放射性粒子、药物粒子</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6000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6000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00" w:lineRule="exact"/>
              <w:jc w:val="center"/>
              <w:textAlignment w:val="center"/>
              <w:rPr>
                <w:rFonts w:ascii="宋体" w:hAnsi="宋体" w:eastAsia="宋体" w:cs="宋体"/>
                <w:color w:val="000000"/>
                <w:kern w:val="2"/>
                <w:sz w:val="16"/>
                <w:szCs w:val="16"/>
                <w:lang w:val="en-US" w:eastAsia="zh-CN" w:bidi="ar-SA"/>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00" w:lineRule="exact"/>
              <w:jc w:val="right"/>
              <w:textAlignment w:val="center"/>
              <w:rPr>
                <w:rFonts w:ascii="宋体" w:hAnsi="宋体" w:eastAsia="宋体" w:cs="宋体"/>
                <w:color w:val="000000"/>
                <w:kern w:val="2"/>
                <w:sz w:val="16"/>
                <w:szCs w:val="16"/>
                <w:lang w:val="en-US" w:eastAsia="zh-CN" w:bidi="ar-SA"/>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240400003</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组织间插置放疗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450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450</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00" w:lineRule="exact"/>
              <w:jc w:val="center"/>
              <w:textAlignment w:val="center"/>
              <w:rPr>
                <w:rFonts w:ascii="宋体" w:hAnsi="宋体" w:eastAsia="宋体" w:cs="宋体"/>
                <w:color w:val="000000"/>
                <w:kern w:val="2"/>
                <w:sz w:val="16"/>
                <w:szCs w:val="16"/>
                <w:lang w:val="en-US" w:eastAsia="zh-CN" w:bidi="ar-SA"/>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00" w:lineRule="exact"/>
              <w:jc w:val="right"/>
              <w:textAlignment w:val="center"/>
              <w:rPr>
                <w:rFonts w:ascii="宋体" w:hAnsi="宋体" w:eastAsia="宋体" w:cs="宋体"/>
                <w:color w:val="000000"/>
                <w:kern w:val="2"/>
                <w:sz w:val="16"/>
                <w:szCs w:val="16"/>
                <w:lang w:val="en-US" w:eastAsia="zh-CN" w:bidi="ar-SA"/>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14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kern w:val="0"/>
                <w:sz w:val="16"/>
                <w:szCs w:val="16"/>
                <w:lang w:bidi="ar"/>
              </w:rPr>
            </w:pPr>
            <w:r>
              <w:rPr>
                <w:rFonts w:hint="eastAsia" w:ascii="宋体" w:hAnsi="宋体" w:cs="宋体"/>
                <w:kern w:val="0"/>
                <w:sz w:val="16"/>
                <w:szCs w:val="16"/>
              </w:rPr>
              <w:t>250305031</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G</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kern w:val="0"/>
                <w:sz w:val="16"/>
                <w:szCs w:val="16"/>
                <w:lang w:bidi="ar"/>
              </w:rPr>
            </w:pPr>
            <w:r>
              <w:rPr>
                <w:rFonts w:hint="eastAsia" w:ascii="宋体" w:hAnsi="宋体" w:cs="宋体"/>
                <w:kern w:val="0"/>
                <w:sz w:val="16"/>
                <w:szCs w:val="16"/>
              </w:rPr>
              <w:t>壳多糖酶3样蛋白1检测</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hint="eastAsia" w:ascii="宋体" w:hAnsi="宋体" w:eastAsia="宋体" w:cs="宋体"/>
                <w:color w:val="000000"/>
                <w:kern w:val="0"/>
                <w:sz w:val="16"/>
                <w:szCs w:val="16"/>
                <w:lang w:eastAsia="zh-CN" w:bidi="ar"/>
              </w:rPr>
            </w:pPr>
            <w:r>
              <w:rPr>
                <w:rFonts w:hint="eastAsia" w:ascii="宋体" w:hAnsi="宋体" w:cs="宋体"/>
                <w:kern w:val="0"/>
                <w:sz w:val="16"/>
                <w:szCs w:val="16"/>
              </w:rPr>
              <w:t>样本类型：血液。样本采集，签收，处理；加免疫试剂；样本温育，检测，质控；审核结果，系统录入或人工登记；发送报告；废物处理；接受临床咨询；试剂管理；工作间整理，消毒</w:t>
            </w:r>
            <w:r>
              <w:rPr>
                <w:rFonts w:hint="eastAsia" w:ascii="宋体" w:hAnsi="宋体" w:cs="宋体"/>
                <w:kern w:val="0"/>
                <w:sz w:val="16"/>
                <w:szCs w:val="16"/>
                <w:lang w:eastAsia="zh-CN"/>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kern w:val="0"/>
                <w:sz w:val="16"/>
                <w:szCs w:val="16"/>
                <w:lang w:bidi="ar"/>
              </w:rPr>
            </w:pPr>
            <w:r>
              <w:rPr>
                <w:rFonts w:hint="eastAsia" w:ascii="宋体" w:hAnsi="宋体" w:cs="宋体"/>
                <w:kern w:val="0"/>
                <w:sz w:val="16"/>
                <w:szCs w:val="16"/>
              </w:rPr>
              <w:t>新增项目暂由医疗机构自主定价</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kern w:val="0"/>
                <w:sz w:val="16"/>
                <w:szCs w:val="16"/>
                <w:lang w:bidi="ar"/>
              </w:rPr>
            </w:pPr>
            <w:r>
              <w:rPr>
                <w:rFonts w:hint="eastAsia" w:ascii="宋体" w:hAnsi="宋体" w:cs="宋体"/>
                <w:kern w:val="0"/>
                <w:sz w:val="16"/>
                <w:szCs w:val="16"/>
              </w:rPr>
              <w:t>新增项目暂由医疗机构自主定价</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kern w:val="0"/>
                <w:sz w:val="16"/>
                <w:szCs w:val="16"/>
              </w:rPr>
            </w:pPr>
            <w:r>
              <w:rPr>
                <w:rFonts w:hint="eastAsia" w:ascii="宋体" w:hAnsi="宋体" w:cs="宋体"/>
                <w:kern w:val="0"/>
                <w:sz w:val="16"/>
                <w:szCs w:val="16"/>
              </w:rPr>
              <w:t>新增项目暂由医疗机构自主定价</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kern w:val="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kern w:val="0"/>
                <w:sz w:val="16"/>
                <w:szCs w:val="16"/>
                <w:lang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right"/>
              <w:rPr>
                <w:rFonts w:ascii="宋体" w:hAnsi="宋体" w:cs="宋体"/>
                <w:color w:val="000000"/>
                <w:sz w:val="16"/>
                <w:szCs w:val="16"/>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增加</w:t>
            </w:r>
          </w:p>
        </w:tc>
      </w:tr>
      <w:tr>
        <w:tblPrEx>
          <w:tblCellMar>
            <w:top w:w="0" w:type="dxa"/>
            <w:left w:w="108" w:type="dxa"/>
            <w:bottom w:w="0" w:type="dxa"/>
            <w:right w:w="108" w:type="dxa"/>
          </w:tblCellMar>
        </w:tblPrEx>
        <w:trPr>
          <w:trHeight w:val="14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CJBY9000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G</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普通细菌药敏定量试验</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样本类型：分离株。</w:t>
            </w:r>
            <w:r>
              <w:rPr>
                <w:rFonts w:hint="eastAsia" w:ascii="宋体" w:hAnsi="宋体" w:cs="宋体"/>
                <w:kern w:val="0"/>
                <w:sz w:val="16"/>
                <w:szCs w:val="16"/>
              </w:rPr>
              <w:t>制配菌悬液</w:t>
            </w:r>
            <w:r>
              <w:rPr>
                <w:rFonts w:hint="eastAsia" w:ascii="宋体" w:hAnsi="宋体" w:cs="宋体"/>
                <w:kern w:val="0"/>
                <w:sz w:val="16"/>
                <w:szCs w:val="16"/>
                <w:lang w:eastAsia="zh-CN"/>
              </w:rPr>
              <w:t>，定量接种于药敏板条，孵育，机器判读结果。或</w:t>
            </w:r>
            <w:r>
              <w:rPr>
                <w:rFonts w:hint="eastAsia" w:ascii="宋体" w:hAnsi="宋体" w:cs="宋体"/>
                <w:kern w:val="0"/>
                <w:sz w:val="16"/>
                <w:szCs w:val="16"/>
              </w:rPr>
              <w:t>制配菌悬液</w:t>
            </w:r>
            <w:r>
              <w:rPr>
                <w:rFonts w:hint="eastAsia" w:ascii="宋体" w:hAnsi="宋体" w:cs="宋体"/>
                <w:kern w:val="0"/>
                <w:sz w:val="16"/>
                <w:szCs w:val="16"/>
                <w:lang w:eastAsia="zh-CN"/>
              </w:rPr>
              <w:t>，</w:t>
            </w:r>
            <w:r>
              <w:rPr>
                <w:rFonts w:hint="eastAsia" w:ascii="宋体" w:hAnsi="宋体" w:cs="宋体"/>
                <w:kern w:val="0"/>
                <w:sz w:val="16"/>
                <w:szCs w:val="16"/>
              </w:rPr>
              <w:t>配置一系列浓度的抗生素肉汤，将菌液加入含有抗生素的肉汤，混匀，孵育，人工判读结果。不含培养。</w:t>
            </w:r>
            <w:bookmarkStart w:id="0" w:name="_GoBack"/>
            <w:bookmarkEnd w:id="0"/>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每一种抗菌药物为一个计价单位</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right"/>
              <w:rPr>
                <w:rFonts w:ascii="宋体" w:hAnsi="宋体" w:cs="宋体"/>
                <w:color w:val="000000"/>
                <w:sz w:val="16"/>
                <w:szCs w:val="16"/>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修改</w:t>
            </w:r>
          </w:p>
        </w:tc>
      </w:tr>
      <w:tr>
        <w:tblPrEx>
          <w:tblCellMar>
            <w:top w:w="0" w:type="dxa"/>
            <w:left w:w="108" w:type="dxa"/>
            <w:bottom w:w="0" w:type="dxa"/>
            <w:right w:w="108" w:type="dxa"/>
          </w:tblCellMar>
        </w:tblPrEx>
        <w:trPr>
          <w:trHeight w:val="8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LBADC001</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碘[131I]甲亢治疗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剂量计算，治疗计划，放射性药品储存、分装、标定、口服，治疗中放射性气体过滤系统、摄像监控系统、放射性污染监控系统、防护器材使用，放射性废弃物的处理，存储(大于80天)，环境监测。</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8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LBADC002</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碘[131I]功能自主性甲状腺瘤治疗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剂量设定，治疗计划，放射性药品储存、分装、标定、口服，治疗中放射性气体过滤系统、摄像监控系统、放射性污染监控系统、防护器材使用，放射性废弃物的处理，存储(大于80天)，环境监测。</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8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LBADC003</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碘[131I]甲状腺癌治疗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剂量设定，治疗计划，放射性药品分装、标定、口服，治疗中放射性气体过滤系统、摄像监控系统、放射性污染监控系统、防护器材使用，放射性废弃物的处理、存储(大于80天)，环境监测。</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8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LBAZX001</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碘[131I]-间碘苄胍恶性肿瘤治疗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剂量设定，治疗计划，放射性药品分装、标定、点滴，治疗中放射性气体过滤系统、摄像监控系统、放射性污染监控系统、防护器材使用，放射性废弃物的处理、存储(大于80天)，环境监测。不含监护、全身显像。</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8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LBAZX002</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碘[131I]肿瘤抗体放免治疗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剂量设定，治疗计划，放射性药品分装，标定，点滴或注射，治疗中放射性气体过滤系统、摄像监控系统、放射性污染监控系统、防护器材使用，放射性废弃物的处理，存储(大于80天)，环境监测。</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8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LBBZX001</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磷[32P]胶体腔内治疗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剂量设定，治疗计划，经腔内导管注射药物，治疗中空气过滤系统、放射性污染监控系统、防护器材使用，放射性废弃物的处理、存储，环境监测。不含腔内穿刺术。</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导管</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6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LBBZX002</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磷[32P]血液病治疗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病史采集、查体、病历书写，病人告知及培训，治疗剂量设定，治疗计划，给药，治疗中空气过滤系统、放射性污染监控系统、防护器材使用，放射性废弃物的处理、存储，环境监测。</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6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LBBZX003</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磷[32P]微球介入治疗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病史采集，查体，病历书写，病人告知及培训，治疗剂量设定，治疗计划，经动脉给药，治疗中放射性污染监控系统、防护器材使用，放射性废弃物的处理，存储，环境监测。不含腔内穿刺术。</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导管</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6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LBCX6001</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锶[89Sr]骨转移瘤治疗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病史采集、查体、病历书写，病人告知及培训，治疗计划，给药，治疗中放射性污染监控系统、防护器材使用，放射性废弃物的处理、存储，环境监测。</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6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LBDX6001</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钐[153Sm]骨转移瘤治疗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病史采集、查体、病历书写，病人告知及培训，治疗计划，给药，治疗中放射性污染监控系统、防护器材使用，放射性废弃物的处理、存储，环境监测。不含全身显像。</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6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LBEX6001</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铼[186/188Re]骨转移瘤治疗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病史采集，查体，病历书写，病人告知及培训，治疗计划，给药，治疗中放射性污染监控系统、防护器材使用，放射性废弃物的处理、存储，环境监测。</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6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LBFZX001</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钇[90Y]微球介入治疗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病史采集，查体、病历书写，病人告知及培训，治疗剂量设定，治疗计划，经动脉给药，治疗中放射性污染监控系统、防护器材使用，放射性废弃物的处理，存储，环境监测。不含腔内穿刺术。</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导管</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6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LBFZX002</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钇[90Y]敷贴治疗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病史采集，查体，病历书写，病人告知及培训，治疗剂量设定，治疗计划，敷贴(一个照射野20毫米×20毫米)，放射性污染监控系统、防护器材使用，放射性废弃物的处理、存储，环境监测。</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10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LBZZX001</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核素组织间介入治疗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剂量设定，治疗计划，经预置导管抽出过多组织间积液，注射药物，导管覆盖棉垫、绷带，治疗中空气过滤系统、放射性污染监控系统、防护器材使用，放射性废弃物的处理，存储，环境监测。不含腔内穿刺术、组织间隙弥散均匀性显像。</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导管</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8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LBZZX002</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核素血管内介入治疗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剂量设定，治疗计划，治疗药物经预置血管导管注射至肿瘤病灶，导管覆盖棉垫、绷带，治疗中空气过滤系统、放射性污染监控系统、防护器材使用，放射性废弃物的处理，存储，环境监测。不含血管插管术。</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导管</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LBZZX003</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锝[99Tc]治疗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病史采集，查体，病历书写，病人告知及培训，治疗剂量设定，治疗计划，点滴。</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r>
        <w:tblPrEx>
          <w:tblCellMar>
            <w:top w:w="0" w:type="dxa"/>
            <w:left w:w="108" w:type="dxa"/>
            <w:bottom w:w="0" w:type="dxa"/>
            <w:right w:w="108" w:type="dxa"/>
          </w:tblCellMar>
        </w:tblPrEx>
        <w:trPr>
          <w:trHeight w:val="14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LBZZX004</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核素组织间粒子置入治疗</w:t>
            </w:r>
          </w:p>
        </w:tc>
        <w:tc>
          <w:tcPr>
            <w:tcW w:w="4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病史采集，查体，病历书写，病人告知及培训，治疗剂量设定，治疗计划，经置入枪置入药物粒子、治疗剂量确认，治疗中空气过滤系统、放射性污染监控系统、防护器材使用，放射性废弃物的处理，存储，环境监测。不含治疗计划及验证、腔内穿刺术。</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导管、放射性粒子、药物粒子</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6000</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6000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center"/>
              <w:rPr>
                <w:rFonts w:ascii="宋体" w:hAnsi="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right"/>
              <w:rPr>
                <w:rFonts w:ascii="宋体" w:hAnsi="宋体" w:cs="宋体"/>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cs="宋体"/>
                <w:color w:val="000000"/>
                <w:sz w:val="16"/>
                <w:szCs w:val="16"/>
              </w:rPr>
            </w:pPr>
            <w:r>
              <w:rPr>
                <w:rFonts w:hint="eastAsia" w:ascii="宋体" w:hAnsi="宋体" w:cs="宋体"/>
                <w:color w:val="000000"/>
                <w:kern w:val="0"/>
                <w:sz w:val="16"/>
                <w:szCs w:val="16"/>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00" w:lineRule="exact"/>
              <w:rPr>
                <w:rFonts w:ascii="宋体" w:hAnsi="宋体" w:cs="宋体"/>
                <w:color w:val="000000"/>
                <w:sz w:val="22"/>
                <w:szCs w:val="22"/>
              </w:rPr>
            </w:pP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删除</w:t>
            </w:r>
          </w:p>
        </w:tc>
      </w:tr>
    </w:tbl>
    <w:p>
      <w:pPr>
        <w:spacing w:line="200" w:lineRule="exact"/>
        <w:ind w:firstLine="280" w:firstLineChars="100"/>
        <w:rPr>
          <w:rFonts w:ascii="仿宋_GB2312" w:hAnsi="宋体" w:eastAsia="仿宋_GB2312" w:cs="仿宋_GB2312"/>
          <w:color w:val="000000"/>
          <w:sz w:val="28"/>
          <w:szCs w:val="28"/>
        </w:rPr>
      </w:pPr>
    </w:p>
    <w:sectPr>
      <w:pgSz w:w="16838" w:h="11906" w:orient="landscape"/>
      <w:pgMar w:top="1587" w:right="1701" w:bottom="1474" w:left="1985" w:header="851" w:footer="992" w:gutter="0"/>
      <w:pgNumType w:fmt="numberInDash"/>
      <w:cols w:space="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昆仑仿宋">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auto"/>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247650" cy="131445"/>
                      </a:xfrm>
                      <a:prstGeom prst="rect">
                        <a:avLst/>
                      </a:prstGeom>
                      <a:noFill/>
                      <a:ln>
                        <a:noFill/>
                      </a:ln>
                    </wps:spPr>
                    <wps:txbx>
                      <w:txbxContent>
                        <w:p>
                          <w:pPr>
                            <w:pStyle w:val="5"/>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59264;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XsUjg0AAAAAMBAAAPAAAAAAAAAAEAIAAAADgAAABkcnMv&#10;ZG93bnJldi54bWxQSwECFAAUAAAACACHTuJA7z0ImPUBAADBAwAADgAAAAAAAAABACAAAAA1AQAA&#10;ZHJzL2Uyb0RvYy54bWxQSwUGAAAAAAYABgBZAQAAnAUAAAAA&#10;">
              <v:fill on="f" focussize="0,0"/>
              <v:stroke on="f"/>
              <v:imagedata o:title=""/>
              <o:lock v:ext="edit" aspectratio="f"/>
              <v:textbox inset="0mm,0mm,0mm,0mm" style="mso-fit-shape-to-text:t;">
                <w:txbxContent>
                  <w:p>
                    <w:pPr>
                      <w:pStyle w:val="5"/>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22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D0"/>
    <w:rsid w:val="00007EFA"/>
    <w:rsid w:val="00010A4E"/>
    <w:rsid w:val="00040580"/>
    <w:rsid w:val="000427D3"/>
    <w:rsid w:val="000559F3"/>
    <w:rsid w:val="00061947"/>
    <w:rsid w:val="00071836"/>
    <w:rsid w:val="00077C10"/>
    <w:rsid w:val="000850E2"/>
    <w:rsid w:val="000856C0"/>
    <w:rsid w:val="00092629"/>
    <w:rsid w:val="000931D2"/>
    <w:rsid w:val="000A0A55"/>
    <w:rsid w:val="000A18CF"/>
    <w:rsid w:val="000A4A99"/>
    <w:rsid w:val="000C0844"/>
    <w:rsid w:val="000C2B7B"/>
    <w:rsid w:val="000C2C74"/>
    <w:rsid w:val="000D7DBA"/>
    <w:rsid w:val="000F2518"/>
    <w:rsid w:val="001001F1"/>
    <w:rsid w:val="001019FF"/>
    <w:rsid w:val="00105AE5"/>
    <w:rsid w:val="00105FB6"/>
    <w:rsid w:val="00107E58"/>
    <w:rsid w:val="00126845"/>
    <w:rsid w:val="00127C1F"/>
    <w:rsid w:val="00156CCD"/>
    <w:rsid w:val="0016080E"/>
    <w:rsid w:val="00161607"/>
    <w:rsid w:val="001617BB"/>
    <w:rsid w:val="001625DD"/>
    <w:rsid w:val="00166F68"/>
    <w:rsid w:val="00171A28"/>
    <w:rsid w:val="00172A27"/>
    <w:rsid w:val="00181967"/>
    <w:rsid w:val="00181D34"/>
    <w:rsid w:val="0018772B"/>
    <w:rsid w:val="00191F41"/>
    <w:rsid w:val="001A3E60"/>
    <w:rsid w:val="001A6579"/>
    <w:rsid w:val="001B351B"/>
    <w:rsid w:val="001D16BB"/>
    <w:rsid w:val="001E073A"/>
    <w:rsid w:val="001F3379"/>
    <w:rsid w:val="001F446E"/>
    <w:rsid w:val="00211936"/>
    <w:rsid w:val="002120F3"/>
    <w:rsid w:val="00213300"/>
    <w:rsid w:val="00216921"/>
    <w:rsid w:val="00223501"/>
    <w:rsid w:val="00237407"/>
    <w:rsid w:val="0024552F"/>
    <w:rsid w:val="00254A0C"/>
    <w:rsid w:val="002611E1"/>
    <w:rsid w:val="0026762D"/>
    <w:rsid w:val="00282C60"/>
    <w:rsid w:val="00283B52"/>
    <w:rsid w:val="00284E0A"/>
    <w:rsid w:val="002A3BC1"/>
    <w:rsid w:val="002C6402"/>
    <w:rsid w:val="002D3B44"/>
    <w:rsid w:val="002D6CE7"/>
    <w:rsid w:val="002E20B2"/>
    <w:rsid w:val="002E3A09"/>
    <w:rsid w:val="00301A8F"/>
    <w:rsid w:val="0032082C"/>
    <w:rsid w:val="00321384"/>
    <w:rsid w:val="0032640F"/>
    <w:rsid w:val="00343FE1"/>
    <w:rsid w:val="00355082"/>
    <w:rsid w:val="00373BE2"/>
    <w:rsid w:val="003759C9"/>
    <w:rsid w:val="00381D08"/>
    <w:rsid w:val="0038343E"/>
    <w:rsid w:val="00384C0C"/>
    <w:rsid w:val="00386584"/>
    <w:rsid w:val="0039283D"/>
    <w:rsid w:val="003938B0"/>
    <w:rsid w:val="003939F5"/>
    <w:rsid w:val="003A51EF"/>
    <w:rsid w:val="003B290F"/>
    <w:rsid w:val="003C563B"/>
    <w:rsid w:val="003F1DDD"/>
    <w:rsid w:val="003F22AD"/>
    <w:rsid w:val="004156CD"/>
    <w:rsid w:val="00435B59"/>
    <w:rsid w:val="00450021"/>
    <w:rsid w:val="00473560"/>
    <w:rsid w:val="00477B62"/>
    <w:rsid w:val="004826FC"/>
    <w:rsid w:val="00483407"/>
    <w:rsid w:val="00494EA8"/>
    <w:rsid w:val="004A14D6"/>
    <w:rsid w:val="004B44F3"/>
    <w:rsid w:val="004B6F55"/>
    <w:rsid w:val="004B7C72"/>
    <w:rsid w:val="004C46E3"/>
    <w:rsid w:val="004E61BA"/>
    <w:rsid w:val="004F1225"/>
    <w:rsid w:val="0050727A"/>
    <w:rsid w:val="005101C4"/>
    <w:rsid w:val="00513712"/>
    <w:rsid w:val="00516A73"/>
    <w:rsid w:val="00522184"/>
    <w:rsid w:val="005244EA"/>
    <w:rsid w:val="00545EC2"/>
    <w:rsid w:val="00551FCA"/>
    <w:rsid w:val="00552DE5"/>
    <w:rsid w:val="005628AA"/>
    <w:rsid w:val="0057645E"/>
    <w:rsid w:val="00593189"/>
    <w:rsid w:val="00597A36"/>
    <w:rsid w:val="005A6AC6"/>
    <w:rsid w:val="005C2F79"/>
    <w:rsid w:val="005D77BC"/>
    <w:rsid w:val="005F5F53"/>
    <w:rsid w:val="00605FA4"/>
    <w:rsid w:val="006060ED"/>
    <w:rsid w:val="00624F75"/>
    <w:rsid w:val="006250A3"/>
    <w:rsid w:val="00625DC3"/>
    <w:rsid w:val="006276CD"/>
    <w:rsid w:val="00634D8F"/>
    <w:rsid w:val="0064721F"/>
    <w:rsid w:val="006634BA"/>
    <w:rsid w:val="00673CC0"/>
    <w:rsid w:val="0067601D"/>
    <w:rsid w:val="00677DF9"/>
    <w:rsid w:val="0068269D"/>
    <w:rsid w:val="00685DA8"/>
    <w:rsid w:val="00687084"/>
    <w:rsid w:val="006A10E4"/>
    <w:rsid w:val="006B49C3"/>
    <w:rsid w:val="006B6D12"/>
    <w:rsid w:val="006B792D"/>
    <w:rsid w:val="006C1191"/>
    <w:rsid w:val="006D206C"/>
    <w:rsid w:val="006E0017"/>
    <w:rsid w:val="00710756"/>
    <w:rsid w:val="007328E3"/>
    <w:rsid w:val="007341DB"/>
    <w:rsid w:val="00735ECA"/>
    <w:rsid w:val="00740494"/>
    <w:rsid w:val="007411DF"/>
    <w:rsid w:val="0074180D"/>
    <w:rsid w:val="00742264"/>
    <w:rsid w:val="007466EB"/>
    <w:rsid w:val="007512FF"/>
    <w:rsid w:val="00786047"/>
    <w:rsid w:val="007B7B96"/>
    <w:rsid w:val="007C4B72"/>
    <w:rsid w:val="007D76CE"/>
    <w:rsid w:val="007E2D7C"/>
    <w:rsid w:val="007E6800"/>
    <w:rsid w:val="007E6887"/>
    <w:rsid w:val="007F4DDD"/>
    <w:rsid w:val="0080267C"/>
    <w:rsid w:val="00813C84"/>
    <w:rsid w:val="0081497C"/>
    <w:rsid w:val="00816596"/>
    <w:rsid w:val="0084312A"/>
    <w:rsid w:val="00855110"/>
    <w:rsid w:val="0087059B"/>
    <w:rsid w:val="00876E9C"/>
    <w:rsid w:val="00897D64"/>
    <w:rsid w:val="008A3BB7"/>
    <w:rsid w:val="008A506C"/>
    <w:rsid w:val="008B25E8"/>
    <w:rsid w:val="008B5B7C"/>
    <w:rsid w:val="008C0E20"/>
    <w:rsid w:val="008D2994"/>
    <w:rsid w:val="008E7D43"/>
    <w:rsid w:val="008F0382"/>
    <w:rsid w:val="008F31C3"/>
    <w:rsid w:val="00904367"/>
    <w:rsid w:val="0091387A"/>
    <w:rsid w:val="00933976"/>
    <w:rsid w:val="00937CFA"/>
    <w:rsid w:val="00945295"/>
    <w:rsid w:val="00950932"/>
    <w:rsid w:val="009526E7"/>
    <w:rsid w:val="00962815"/>
    <w:rsid w:val="00962FD2"/>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308B9"/>
    <w:rsid w:val="00A53246"/>
    <w:rsid w:val="00A62BB4"/>
    <w:rsid w:val="00A77DBB"/>
    <w:rsid w:val="00A85376"/>
    <w:rsid w:val="00A968BC"/>
    <w:rsid w:val="00AC0559"/>
    <w:rsid w:val="00AC1B35"/>
    <w:rsid w:val="00AC6644"/>
    <w:rsid w:val="00AE095A"/>
    <w:rsid w:val="00AE3B82"/>
    <w:rsid w:val="00B03891"/>
    <w:rsid w:val="00B073B5"/>
    <w:rsid w:val="00B15E2B"/>
    <w:rsid w:val="00B239AF"/>
    <w:rsid w:val="00B35CFA"/>
    <w:rsid w:val="00B559D2"/>
    <w:rsid w:val="00B75ECF"/>
    <w:rsid w:val="00B95DE6"/>
    <w:rsid w:val="00BA3124"/>
    <w:rsid w:val="00BA38C4"/>
    <w:rsid w:val="00BA655B"/>
    <w:rsid w:val="00BB60C5"/>
    <w:rsid w:val="00BC66FF"/>
    <w:rsid w:val="00BE0C9F"/>
    <w:rsid w:val="00BE69EA"/>
    <w:rsid w:val="00BF5E57"/>
    <w:rsid w:val="00C04F1D"/>
    <w:rsid w:val="00C143F5"/>
    <w:rsid w:val="00C15792"/>
    <w:rsid w:val="00C215E8"/>
    <w:rsid w:val="00C21AEC"/>
    <w:rsid w:val="00C53661"/>
    <w:rsid w:val="00C565A5"/>
    <w:rsid w:val="00C64CE5"/>
    <w:rsid w:val="00C8165A"/>
    <w:rsid w:val="00C91F63"/>
    <w:rsid w:val="00CA65DC"/>
    <w:rsid w:val="00CD7AF7"/>
    <w:rsid w:val="00D0197D"/>
    <w:rsid w:val="00D0311A"/>
    <w:rsid w:val="00D167FA"/>
    <w:rsid w:val="00D60EA4"/>
    <w:rsid w:val="00D701F3"/>
    <w:rsid w:val="00D749BD"/>
    <w:rsid w:val="00D76E06"/>
    <w:rsid w:val="00D80F15"/>
    <w:rsid w:val="00D97162"/>
    <w:rsid w:val="00DB0472"/>
    <w:rsid w:val="00DC1F2B"/>
    <w:rsid w:val="00DC4A82"/>
    <w:rsid w:val="00DC4BE2"/>
    <w:rsid w:val="00DD0167"/>
    <w:rsid w:val="00DD59B1"/>
    <w:rsid w:val="00DF0786"/>
    <w:rsid w:val="00DF6EC0"/>
    <w:rsid w:val="00E01A56"/>
    <w:rsid w:val="00E03476"/>
    <w:rsid w:val="00E11C38"/>
    <w:rsid w:val="00E12C97"/>
    <w:rsid w:val="00E2272E"/>
    <w:rsid w:val="00E2625A"/>
    <w:rsid w:val="00E352C2"/>
    <w:rsid w:val="00E3792E"/>
    <w:rsid w:val="00E408F4"/>
    <w:rsid w:val="00E4165D"/>
    <w:rsid w:val="00E44827"/>
    <w:rsid w:val="00E613CA"/>
    <w:rsid w:val="00E6300C"/>
    <w:rsid w:val="00E65123"/>
    <w:rsid w:val="00E6697D"/>
    <w:rsid w:val="00E75CAA"/>
    <w:rsid w:val="00E97E85"/>
    <w:rsid w:val="00EA497C"/>
    <w:rsid w:val="00EB1B89"/>
    <w:rsid w:val="00EB60ED"/>
    <w:rsid w:val="00EB68C7"/>
    <w:rsid w:val="00EB72E6"/>
    <w:rsid w:val="00EC3615"/>
    <w:rsid w:val="00EC5D02"/>
    <w:rsid w:val="00EC65CF"/>
    <w:rsid w:val="00ED7EDE"/>
    <w:rsid w:val="00EE102F"/>
    <w:rsid w:val="00EE4E0A"/>
    <w:rsid w:val="00EF2783"/>
    <w:rsid w:val="00EF58D3"/>
    <w:rsid w:val="00F0190C"/>
    <w:rsid w:val="00F109D6"/>
    <w:rsid w:val="00F16023"/>
    <w:rsid w:val="00F255D9"/>
    <w:rsid w:val="00F300AC"/>
    <w:rsid w:val="00F462D6"/>
    <w:rsid w:val="00F75940"/>
    <w:rsid w:val="00FA3356"/>
    <w:rsid w:val="00FB2F67"/>
    <w:rsid w:val="00FC6CB4"/>
    <w:rsid w:val="00FD1133"/>
    <w:rsid w:val="00FD2FA3"/>
    <w:rsid w:val="00FE7155"/>
    <w:rsid w:val="01282572"/>
    <w:rsid w:val="04A3127F"/>
    <w:rsid w:val="073354CD"/>
    <w:rsid w:val="07473F5D"/>
    <w:rsid w:val="09CB5A40"/>
    <w:rsid w:val="0C1248C0"/>
    <w:rsid w:val="0C157FF1"/>
    <w:rsid w:val="0C5A010F"/>
    <w:rsid w:val="0D31124A"/>
    <w:rsid w:val="0DBD3488"/>
    <w:rsid w:val="0E146315"/>
    <w:rsid w:val="0EE345C5"/>
    <w:rsid w:val="0FE806D9"/>
    <w:rsid w:val="10456B18"/>
    <w:rsid w:val="10A93CD1"/>
    <w:rsid w:val="12036320"/>
    <w:rsid w:val="13570462"/>
    <w:rsid w:val="14722ED8"/>
    <w:rsid w:val="14FA0A8E"/>
    <w:rsid w:val="17F37C6A"/>
    <w:rsid w:val="197B2179"/>
    <w:rsid w:val="19DA0B32"/>
    <w:rsid w:val="1A5F50F6"/>
    <w:rsid w:val="1A686BC7"/>
    <w:rsid w:val="1F694C87"/>
    <w:rsid w:val="1F913B73"/>
    <w:rsid w:val="1FBFE700"/>
    <w:rsid w:val="20D2137B"/>
    <w:rsid w:val="2133323D"/>
    <w:rsid w:val="21375F55"/>
    <w:rsid w:val="2191658F"/>
    <w:rsid w:val="21F42C42"/>
    <w:rsid w:val="22C1038A"/>
    <w:rsid w:val="22D22E25"/>
    <w:rsid w:val="22FA382B"/>
    <w:rsid w:val="2546495F"/>
    <w:rsid w:val="2559413F"/>
    <w:rsid w:val="259E4167"/>
    <w:rsid w:val="26113C3E"/>
    <w:rsid w:val="2697468D"/>
    <w:rsid w:val="279925B8"/>
    <w:rsid w:val="27B87745"/>
    <w:rsid w:val="28A42B85"/>
    <w:rsid w:val="29534396"/>
    <w:rsid w:val="29F17C85"/>
    <w:rsid w:val="2A0B5929"/>
    <w:rsid w:val="2A4B00C9"/>
    <w:rsid w:val="2C2516DC"/>
    <w:rsid w:val="2C6C4CC1"/>
    <w:rsid w:val="2CB40D31"/>
    <w:rsid w:val="2CC226E0"/>
    <w:rsid w:val="2D863506"/>
    <w:rsid w:val="2DAA3B42"/>
    <w:rsid w:val="3194092C"/>
    <w:rsid w:val="32AA7096"/>
    <w:rsid w:val="35D843A3"/>
    <w:rsid w:val="36CD750F"/>
    <w:rsid w:val="3700709C"/>
    <w:rsid w:val="374A2D07"/>
    <w:rsid w:val="37BF4C09"/>
    <w:rsid w:val="37FF4A02"/>
    <w:rsid w:val="388A4F70"/>
    <w:rsid w:val="3939640E"/>
    <w:rsid w:val="399A7BB5"/>
    <w:rsid w:val="39A20F4B"/>
    <w:rsid w:val="3A8A4F42"/>
    <w:rsid w:val="3A8F28FA"/>
    <w:rsid w:val="3B7FB45E"/>
    <w:rsid w:val="3BC77647"/>
    <w:rsid w:val="3C193C83"/>
    <w:rsid w:val="3CFA6418"/>
    <w:rsid w:val="3D093D18"/>
    <w:rsid w:val="3D1A5651"/>
    <w:rsid w:val="3EDFD1D0"/>
    <w:rsid w:val="3F2F4621"/>
    <w:rsid w:val="3F4C0207"/>
    <w:rsid w:val="3FFEE964"/>
    <w:rsid w:val="40F92307"/>
    <w:rsid w:val="42D06AA0"/>
    <w:rsid w:val="4396049F"/>
    <w:rsid w:val="43B647A2"/>
    <w:rsid w:val="45525E68"/>
    <w:rsid w:val="487F1A5D"/>
    <w:rsid w:val="49421DFA"/>
    <w:rsid w:val="496B19AD"/>
    <w:rsid w:val="4ABDB90B"/>
    <w:rsid w:val="4B4D1082"/>
    <w:rsid w:val="4D31591D"/>
    <w:rsid w:val="4D811F42"/>
    <w:rsid w:val="4DD231F6"/>
    <w:rsid w:val="4E24703C"/>
    <w:rsid w:val="4EBA63AE"/>
    <w:rsid w:val="4ED55A11"/>
    <w:rsid w:val="4EDE657E"/>
    <w:rsid w:val="50553A2D"/>
    <w:rsid w:val="507B40DE"/>
    <w:rsid w:val="51FED7AB"/>
    <w:rsid w:val="52426AE5"/>
    <w:rsid w:val="55036598"/>
    <w:rsid w:val="55AB2BA8"/>
    <w:rsid w:val="5642140F"/>
    <w:rsid w:val="57141C6D"/>
    <w:rsid w:val="586FF708"/>
    <w:rsid w:val="5936527B"/>
    <w:rsid w:val="59725C82"/>
    <w:rsid w:val="5AFFC7AA"/>
    <w:rsid w:val="5BD462C2"/>
    <w:rsid w:val="5C3D2425"/>
    <w:rsid w:val="5C720997"/>
    <w:rsid w:val="5CAB73AB"/>
    <w:rsid w:val="5E116B87"/>
    <w:rsid w:val="5E7FB30F"/>
    <w:rsid w:val="5EFA7CCD"/>
    <w:rsid w:val="5EFFFEAD"/>
    <w:rsid w:val="5F0E2B71"/>
    <w:rsid w:val="5F2A5003"/>
    <w:rsid w:val="5F647CE3"/>
    <w:rsid w:val="5F6D7FA1"/>
    <w:rsid w:val="5FBF250D"/>
    <w:rsid w:val="60265A01"/>
    <w:rsid w:val="61D727BB"/>
    <w:rsid w:val="62086249"/>
    <w:rsid w:val="63B674D4"/>
    <w:rsid w:val="63BFD95A"/>
    <w:rsid w:val="63FF666F"/>
    <w:rsid w:val="674D6AB9"/>
    <w:rsid w:val="677A5FD4"/>
    <w:rsid w:val="679FCA90"/>
    <w:rsid w:val="6874679F"/>
    <w:rsid w:val="68A42524"/>
    <w:rsid w:val="699E1ABF"/>
    <w:rsid w:val="69B81B73"/>
    <w:rsid w:val="69C436BC"/>
    <w:rsid w:val="69DED524"/>
    <w:rsid w:val="6B2F1E1D"/>
    <w:rsid w:val="6DF7EBBE"/>
    <w:rsid w:val="6EEB13ED"/>
    <w:rsid w:val="6F7F80B4"/>
    <w:rsid w:val="6F9007F7"/>
    <w:rsid w:val="6FB2A508"/>
    <w:rsid w:val="6FBB27F8"/>
    <w:rsid w:val="6FC637EA"/>
    <w:rsid w:val="6FD95F5A"/>
    <w:rsid w:val="6FFF438D"/>
    <w:rsid w:val="6FFF5C83"/>
    <w:rsid w:val="70DE0B3A"/>
    <w:rsid w:val="72FF5590"/>
    <w:rsid w:val="751478A3"/>
    <w:rsid w:val="75267237"/>
    <w:rsid w:val="757DE146"/>
    <w:rsid w:val="75C7A694"/>
    <w:rsid w:val="75ED5D32"/>
    <w:rsid w:val="763FB021"/>
    <w:rsid w:val="773FF688"/>
    <w:rsid w:val="774EF875"/>
    <w:rsid w:val="77D22069"/>
    <w:rsid w:val="78507153"/>
    <w:rsid w:val="78C34F0A"/>
    <w:rsid w:val="7ABE5C61"/>
    <w:rsid w:val="7AFFA8F0"/>
    <w:rsid w:val="7B7F201C"/>
    <w:rsid w:val="7BFD05C1"/>
    <w:rsid w:val="7C6868F6"/>
    <w:rsid w:val="7CA3E458"/>
    <w:rsid w:val="7D6B5FD8"/>
    <w:rsid w:val="7DFF016C"/>
    <w:rsid w:val="7EA56C0A"/>
    <w:rsid w:val="7EC7E849"/>
    <w:rsid w:val="7EDDA93F"/>
    <w:rsid w:val="7EF7322D"/>
    <w:rsid w:val="7EFD789C"/>
    <w:rsid w:val="7F3E1064"/>
    <w:rsid w:val="7F7D58EC"/>
    <w:rsid w:val="7FCE1B22"/>
    <w:rsid w:val="7FE96AEB"/>
    <w:rsid w:val="7FF1CCFD"/>
    <w:rsid w:val="7FF466F8"/>
    <w:rsid w:val="7FF76FD9"/>
    <w:rsid w:val="8DF7E567"/>
    <w:rsid w:val="97FD30D2"/>
    <w:rsid w:val="9BEFEE94"/>
    <w:rsid w:val="9D4B5CFF"/>
    <w:rsid w:val="9FAB4846"/>
    <w:rsid w:val="A997B4BA"/>
    <w:rsid w:val="AFF3EB17"/>
    <w:rsid w:val="AFFE85F6"/>
    <w:rsid w:val="B3AE757F"/>
    <w:rsid w:val="B7DF96D7"/>
    <w:rsid w:val="B7FBAFCB"/>
    <w:rsid w:val="B7FDBD6C"/>
    <w:rsid w:val="BA7B23C6"/>
    <w:rsid w:val="BCB78241"/>
    <w:rsid w:val="BFE54D23"/>
    <w:rsid w:val="CDF7B6F7"/>
    <w:rsid w:val="CFFF7263"/>
    <w:rsid w:val="D3FB427F"/>
    <w:rsid w:val="DDD1160D"/>
    <w:rsid w:val="DED4FD5F"/>
    <w:rsid w:val="DFEFD79F"/>
    <w:rsid w:val="DFF7E9E8"/>
    <w:rsid w:val="DFFE1F70"/>
    <w:rsid w:val="E9F71EFB"/>
    <w:rsid w:val="EBEB68DB"/>
    <w:rsid w:val="EFD94F28"/>
    <w:rsid w:val="EFEC3E7E"/>
    <w:rsid w:val="EFFEC131"/>
    <w:rsid w:val="F1FBABB2"/>
    <w:rsid w:val="F38D895D"/>
    <w:rsid w:val="F7FAC39F"/>
    <w:rsid w:val="F7FBB236"/>
    <w:rsid w:val="FB3BD7B7"/>
    <w:rsid w:val="FB6E079A"/>
    <w:rsid w:val="FB7E255A"/>
    <w:rsid w:val="FBD0F14A"/>
    <w:rsid w:val="FBFBB1F0"/>
    <w:rsid w:val="FDEF5190"/>
    <w:rsid w:val="FE734873"/>
    <w:rsid w:val="FE7DD4A8"/>
    <w:rsid w:val="FEAE9CE3"/>
    <w:rsid w:val="FEDEF757"/>
    <w:rsid w:val="FEFBB443"/>
    <w:rsid w:val="FF7DDA22"/>
    <w:rsid w:val="FFDACAA4"/>
    <w:rsid w:val="FFF3DBEC"/>
    <w:rsid w:val="FFFFC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qFormat/>
    <w:uiPriority w:val="0"/>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kern w:val="0"/>
      <w:sz w:val="24"/>
    </w:rPr>
  </w:style>
  <w:style w:type="character" w:styleId="10">
    <w:name w:val="Strong"/>
    <w:basedOn w:val="9"/>
    <w:qFormat/>
    <w:uiPriority w:val="22"/>
    <w:rPr>
      <w:b/>
    </w:rPr>
  </w:style>
  <w:style w:type="character" w:styleId="11">
    <w:name w:val="page number"/>
    <w:basedOn w:val="9"/>
    <w:qFormat/>
    <w:uiPriority w:val="0"/>
  </w:style>
  <w:style w:type="paragraph" w:customStyle="1" w:styleId="12">
    <w:name w:val="_Style 5"/>
    <w:basedOn w:val="1"/>
    <w:qFormat/>
    <w:uiPriority w:val="0"/>
    <w:pPr>
      <w:widowControl/>
      <w:spacing w:after="160" w:line="240" w:lineRule="exact"/>
      <w:jc w:val="left"/>
    </w:pPr>
    <w:rPr>
      <w:rFonts w:ascii="Verdana" w:hAnsi="Verdana"/>
      <w:kern w:val="0"/>
      <w:sz w:val="20"/>
      <w:lang w:eastAsia="en-US"/>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paragraph" w:styleId="15">
    <w:name w:val="List Paragraph"/>
    <w:basedOn w:val="1"/>
    <w:qFormat/>
    <w:uiPriority w:val="34"/>
    <w:pPr>
      <w:ind w:firstLine="420" w:firstLineChars="200"/>
    </w:pPr>
    <w:rPr>
      <w:rFonts w:ascii="Calibri" w:hAnsi="Calibri"/>
      <w:sz w:val="21"/>
      <w:szCs w:val="22"/>
    </w:rPr>
  </w:style>
  <w:style w:type="character" w:customStyle="1" w:styleId="16">
    <w:name w:val="批注框文本 字符"/>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665</Words>
  <Characters>3792</Characters>
  <Lines>31</Lines>
  <Paragraphs>8</Paragraphs>
  <TotalTime>217</TotalTime>
  <ScaleCrop>false</ScaleCrop>
  <LinksUpToDate>false</LinksUpToDate>
  <CharactersWithSpaces>4449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2020-09-18T16:43:00Z</dcterms:created>
  <dc:creator>Sky123.Org</dc:creator>
  <cp:lastModifiedBy>uos</cp:lastModifiedBy>
  <cp:lastPrinted>2022-10-25T22:26:00Z</cp:lastPrinted>
  <dcterms:modified xsi:type="dcterms:W3CDTF">2022-10-26T16:51:03Z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